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outlineLvl w:val="1"/>
        <w:rPr>
          <w:rStyle w:val="18"/>
          <w:rFonts w:ascii="Arial" w:hAnsi="Arial" w:cs="Arial"/>
          <w:color w:val="333333"/>
          <w:sz w:val="25"/>
          <w:szCs w:val="25"/>
          <w:shd w:val="clear" w:color="auto" w:fill="FFFFFF"/>
        </w:rPr>
      </w:pPr>
      <w:r>
        <w:rPr>
          <w:rFonts w:hint="eastAsia"/>
          <w:b/>
          <w:sz w:val="28"/>
          <w:szCs w:val="28"/>
        </w:rPr>
        <w:t>Materials Science and Engineering</w:t>
      </w:r>
      <w:r>
        <w:rPr>
          <w:b/>
          <w:sz w:val="28"/>
          <w:szCs w:val="28"/>
        </w:rPr>
        <w:t xml:space="preserve"> -A full time academic master of postgraduate training</w:t>
      </w:r>
      <w:r>
        <w:rPr>
          <w:rFonts w:hint="eastAsia"/>
          <w:b/>
          <w:sz w:val="28"/>
          <w:szCs w:val="28"/>
          <w:lang w:val="en-US" w:eastAsia="zh-CN"/>
        </w:rPr>
        <w:t xml:space="preserve"> </w:t>
      </w:r>
      <w:r>
        <w:rPr>
          <w:b/>
          <w:sz w:val="28"/>
          <w:szCs w:val="28"/>
        </w:rPr>
        <w:t xml:space="preserve">program as a </w:t>
      </w:r>
      <w:r>
        <w:rPr>
          <w:rStyle w:val="11"/>
          <w:b/>
          <w:i w:val="0"/>
          <w:iCs w:val="0"/>
          <w:sz w:val="28"/>
          <w:szCs w:val="28"/>
          <w:shd w:val="clear" w:color="auto" w:fill="FFFFFF"/>
        </w:rPr>
        <w:t>First</w:t>
      </w:r>
      <w:r>
        <w:rPr>
          <w:b/>
          <w:sz w:val="28"/>
          <w:szCs w:val="28"/>
          <w:shd w:val="clear" w:color="auto" w:fill="FFFFFF"/>
        </w:rPr>
        <w:t>-</w:t>
      </w:r>
      <w:r>
        <w:rPr>
          <w:rStyle w:val="11"/>
          <w:b/>
          <w:i w:val="0"/>
          <w:iCs w:val="0"/>
          <w:sz w:val="28"/>
          <w:szCs w:val="28"/>
          <w:shd w:val="clear" w:color="auto" w:fill="FFFFFF"/>
        </w:rPr>
        <w:t>level</w:t>
      </w:r>
      <w:r>
        <w:rPr>
          <w:rStyle w:val="23"/>
          <w:b/>
          <w:sz w:val="28"/>
          <w:szCs w:val="28"/>
          <w:shd w:val="clear" w:color="auto" w:fill="FFFFFF"/>
        </w:rPr>
        <w:t xml:space="preserve"> </w:t>
      </w:r>
      <w:r>
        <w:rPr>
          <w:rStyle w:val="11"/>
          <w:b/>
          <w:i w:val="0"/>
          <w:iCs w:val="0"/>
          <w:sz w:val="28"/>
          <w:szCs w:val="28"/>
          <w:shd w:val="clear" w:color="auto" w:fill="FFFFFF"/>
        </w:rPr>
        <w:t>Discipline</w:t>
      </w:r>
      <w:r>
        <w:rPr>
          <w:rStyle w:val="18"/>
          <w:rFonts w:ascii="Arial" w:hAnsi="Arial" w:cs="Arial"/>
          <w:color w:val="333333"/>
          <w:sz w:val="25"/>
          <w:szCs w:val="25"/>
          <w:shd w:val="clear" w:color="auto" w:fill="FFFFFF"/>
        </w:rPr>
        <w:t xml:space="preserve"> </w:t>
      </w:r>
    </w:p>
    <w:p>
      <w:pPr>
        <w:jc w:val="center"/>
        <w:outlineLvl w:val="1"/>
        <w:rPr>
          <w:b/>
          <w:sz w:val="28"/>
          <w:szCs w:val="28"/>
        </w:rPr>
      </w:pPr>
      <w:r>
        <w:rPr>
          <w:rFonts w:ascii="Arial" w:hAnsi="Arial" w:cs="Arial"/>
          <w:color w:val="333333"/>
          <w:sz w:val="25"/>
        </w:rPr>
        <w:t>(</w:t>
      </w:r>
      <w:r>
        <w:rPr>
          <w:rFonts w:ascii="Arial" w:hAnsi="Arial" w:cs="Arial"/>
          <w:color w:val="333333"/>
          <w:sz w:val="25"/>
          <w:szCs w:val="25"/>
          <w:shd w:val="clear" w:color="auto" w:fill="FFFFFF"/>
        </w:rPr>
        <w:t>for International Students in English teaching)</w:t>
      </w:r>
    </w:p>
    <w:p>
      <w:pPr>
        <w:jc w:val="center"/>
        <w:rPr>
          <w:rFonts w:ascii="宋体"/>
          <w:sz w:val="24"/>
        </w:rPr>
      </w:pPr>
      <w:r>
        <w:rPr>
          <w:rFonts w:hint="eastAsia" w:ascii="宋体" w:hAnsi="宋体"/>
          <w:sz w:val="24"/>
        </w:rPr>
        <w:t>（</w:t>
      </w:r>
      <w:r>
        <w:rPr>
          <w:rFonts w:ascii="Arial" w:hAnsi="Arial" w:cs="Arial"/>
          <w:color w:val="333333"/>
          <w:sz w:val="25"/>
          <w:szCs w:val="25"/>
          <w:shd w:val="clear" w:color="auto" w:fill="FFFFFF"/>
        </w:rPr>
        <w:t>Discipline code</w:t>
      </w:r>
      <w:r>
        <w:rPr>
          <w:rFonts w:hint="eastAsia" w:ascii="宋体" w:hAnsi="宋体"/>
          <w:sz w:val="24"/>
        </w:rPr>
        <w:t>：</w:t>
      </w:r>
      <w:r>
        <w:rPr>
          <w:rFonts w:ascii="宋体" w:hAnsi="宋体"/>
          <w:sz w:val="24"/>
        </w:rPr>
        <w:t>08</w:t>
      </w:r>
      <w:r>
        <w:rPr>
          <w:rFonts w:hint="eastAsia" w:ascii="宋体" w:hAnsi="宋体"/>
          <w:sz w:val="24"/>
        </w:rPr>
        <w:t>05</w:t>
      </w:r>
      <w:r>
        <w:rPr>
          <w:rFonts w:ascii="宋体" w:hAnsi="宋体"/>
          <w:sz w:val="24"/>
        </w:rPr>
        <w:t xml:space="preserve"> </w:t>
      </w:r>
      <w:r>
        <w:rPr>
          <w:rFonts w:ascii="Arial" w:hAnsi="Arial" w:cs="Arial"/>
          <w:color w:val="333333"/>
          <w:sz w:val="25"/>
          <w:szCs w:val="25"/>
          <w:shd w:val="clear" w:color="auto" w:fill="FFFFFF"/>
        </w:rPr>
        <w:t xml:space="preserve"> Grant: Master of </w:t>
      </w:r>
      <w:r>
        <w:rPr>
          <w:rFonts w:hint="eastAsia" w:ascii="Arial" w:hAnsi="Arial" w:cs="Arial"/>
          <w:color w:val="333333"/>
          <w:sz w:val="25"/>
          <w:szCs w:val="25"/>
          <w:shd w:val="clear" w:color="auto" w:fill="FFFFFF"/>
        </w:rPr>
        <w:t>Science</w:t>
      </w:r>
      <w:r>
        <w:rPr>
          <w:rFonts w:hint="eastAsia" w:ascii="宋体" w:hAnsi="宋体"/>
          <w:sz w:val="24"/>
        </w:rPr>
        <w:t>）</w:t>
      </w:r>
    </w:p>
    <w:p>
      <w:pPr>
        <w:rPr>
          <w:b/>
          <w:sz w:val="32"/>
          <w:szCs w:val="32"/>
        </w:rPr>
      </w:pPr>
      <w:r>
        <w:rPr>
          <w:b/>
          <w:sz w:val="32"/>
          <w:szCs w:val="32"/>
        </w:rPr>
        <w:fldChar w:fldCharType="begin"/>
      </w:r>
      <w:r>
        <w:rPr>
          <w:b/>
          <w:sz w:val="32"/>
          <w:szCs w:val="32"/>
        </w:rPr>
        <w:instrText xml:space="preserve"> = 1 \* ROMAN </w:instrText>
      </w:r>
      <w:r>
        <w:rPr>
          <w:b/>
          <w:sz w:val="32"/>
          <w:szCs w:val="32"/>
        </w:rPr>
        <w:fldChar w:fldCharType="separate"/>
      </w:r>
      <w:r>
        <w:rPr>
          <w:b/>
          <w:sz w:val="32"/>
          <w:szCs w:val="32"/>
        </w:rPr>
        <w:t>I</w:t>
      </w:r>
      <w:r>
        <w:rPr>
          <w:b/>
          <w:sz w:val="32"/>
          <w:szCs w:val="32"/>
        </w:rPr>
        <w:fldChar w:fldCharType="end"/>
      </w:r>
      <w:r>
        <w:rPr>
          <w:rFonts w:hint="eastAsia"/>
          <w:b/>
          <w:sz w:val="32"/>
          <w:szCs w:val="32"/>
        </w:rPr>
        <w:t xml:space="preserve">. </w:t>
      </w:r>
      <w:r>
        <w:rPr>
          <w:b/>
          <w:sz w:val="32"/>
          <w:szCs w:val="32"/>
        </w:rPr>
        <w:t>An Introduction to the Discipline</w:t>
      </w:r>
    </w:p>
    <w:p>
      <w:pPr>
        <w:ind w:firstLine="240" w:firstLineChars="100"/>
        <w:rPr>
          <w:sz w:val="24"/>
        </w:rPr>
      </w:pPr>
      <w:r>
        <w:rPr>
          <w:sz w:val="24"/>
        </w:rPr>
        <w:t xml:space="preserve">Materials Science and Engineering Discipline in Shenyang Jianzhu University was established in 1951, formerly known as the major of silicate engineering. It is the only cultivation base featured with building materials for undergraduate and graduate student in Liaoning Province. Our discipline closely revolves around the characteristics of Architecture and Civil engineering of Shenyang Jianzhu University and carries out scientific research and talent cultivation in the field of material science and engineering, especially in the field of building materials. The Master's Program in Materials Science was started in 1998. In 2006, the Material Science and Engineering Discipline was approved firstly by Liaoning Province as a First-level discipline master’s degree authorization. Our Materials Science discipline is the key discipline of Ministry of Housing and Urban-Rural Development and Liaoning Province. </w:t>
      </w:r>
    </w:p>
    <w:p>
      <w:pPr>
        <w:ind w:firstLine="240" w:firstLineChars="100"/>
        <w:rPr>
          <w:sz w:val="24"/>
        </w:rPr>
      </w:pPr>
      <w:r>
        <w:rPr>
          <w:sz w:val="24"/>
        </w:rPr>
        <w:t>Materials Science and Engineering Discipline includes three secondary disciplines which are Material Physics and Chemistry, Materials Science and Materials Process Engineering in School of Materials Science and Engineering, with two doctoral related disciplines, one postdoctoral research station and one national teaching team. Among the full-time teachers, there are one member of the Inorganic Nonmetallic Materials Steering Committee of the Ministry of Education, one Distinguished Professor in Liaoning Province, one outstanding teacher in Liaoning Province, two people at 100-person level of Liaoning Hundred, Thousand and Ten Thousand Talent Project.</w:t>
      </w:r>
    </w:p>
    <w:p>
      <w:pPr>
        <w:rPr>
          <w:sz w:val="24"/>
        </w:rPr>
      </w:pPr>
    </w:p>
    <w:p>
      <w:pPr>
        <w:rPr>
          <w:b/>
          <w:sz w:val="32"/>
          <w:szCs w:val="32"/>
        </w:rPr>
      </w:pPr>
      <w:r>
        <w:rPr>
          <w:b/>
          <w:sz w:val="32"/>
          <w:szCs w:val="32"/>
        </w:rPr>
        <w:fldChar w:fldCharType="begin"/>
      </w:r>
      <w:r>
        <w:rPr>
          <w:b/>
          <w:sz w:val="32"/>
          <w:szCs w:val="32"/>
        </w:rPr>
        <w:instrText xml:space="preserve"> = 2 \* ROMAN </w:instrText>
      </w:r>
      <w:r>
        <w:rPr>
          <w:b/>
          <w:sz w:val="32"/>
          <w:szCs w:val="32"/>
        </w:rPr>
        <w:fldChar w:fldCharType="separate"/>
      </w:r>
      <w:r>
        <w:rPr>
          <w:b/>
          <w:sz w:val="32"/>
          <w:szCs w:val="32"/>
        </w:rPr>
        <w:t>II</w:t>
      </w:r>
      <w:r>
        <w:rPr>
          <w:b/>
          <w:sz w:val="32"/>
          <w:szCs w:val="32"/>
        </w:rPr>
        <w:fldChar w:fldCharType="end"/>
      </w:r>
      <w:r>
        <w:rPr>
          <w:rFonts w:hint="eastAsia"/>
          <w:b/>
          <w:sz w:val="32"/>
          <w:szCs w:val="32"/>
        </w:rPr>
        <w:t xml:space="preserve">. </w:t>
      </w:r>
      <w:r>
        <w:rPr>
          <w:b/>
          <w:sz w:val="32"/>
          <w:szCs w:val="32"/>
        </w:rPr>
        <w:t>Secondary Disciplines</w:t>
      </w:r>
    </w:p>
    <w:p>
      <w:pPr>
        <w:rPr>
          <w:sz w:val="24"/>
        </w:rPr>
      </w:pPr>
      <w:r>
        <w:rPr>
          <w:rFonts w:hint="eastAsia"/>
          <w:sz w:val="24"/>
        </w:rPr>
        <w:t xml:space="preserve">080501 </w:t>
      </w:r>
      <w:r>
        <w:rPr>
          <w:sz w:val="24"/>
        </w:rPr>
        <w:t>Material Physics and Chemistry</w:t>
      </w:r>
    </w:p>
    <w:p>
      <w:pPr>
        <w:rPr>
          <w:sz w:val="24"/>
        </w:rPr>
      </w:pPr>
      <w:r>
        <w:rPr>
          <w:rFonts w:hint="eastAsia"/>
          <w:sz w:val="24"/>
        </w:rPr>
        <w:t xml:space="preserve">080502 </w:t>
      </w:r>
      <w:r>
        <w:rPr>
          <w:sz w:val="24"/>
        </w:rPr>
        <w:t>Materials Science</w:t>
      </w:r>
      <w:r>
        <w:rPr>
          <w:rFonts w:hint="eastAsia"/>
          <w:sz w:val="24"/>
        </w:rPr>
        <w:t xml:space="preserve">    </w:t>
      </w:r>
    </w:p>
    <w:p>
      <w:pPr>
        <w:rPr>
          <w:sz w:val="24"/>
        </w:rPr>
      </w:pPr>
      <w:r>
        <w:rPr>
          <w:rFonts w:hint="eastAsia"/>
          <w:sz w:val="24"/>
        </w:rPr>
        <w:t xml:space="preserve">080503 </w:t>
      </w:r>
      <w:r>
        <w:rPr>
          <w:sz w:val="24"/>
        </w:rPr>
        <w:t>Materials Process Engineering</w:t>
      </w:r>
    </w:p>
    <w:p>
      <w:pPr>
        <w:rPr>
          <w:sz w:val="24"/>
        </w:rPr>
      </w:pPr>
    </w:p>
    <w:p>
      <w:pPr>
        <w:rPr>
          <w:b/>
          <w:sz w:val="32"/>
          <w:szCs w:val="32"/>
        </w:rPr>
      </w:pPr>
      <w:r>
        <w:rPr>
          <w:b/>
          <w:sz w:val="32"/>
          <w:szCs w:val="32"/>
        </w:rPr>
        <w:fldChar w:fldCharType="begin"/>
      </w:r>
      <w:r>
        <w:rPr>
          <w:b/>
          <w:sz w:val="32"/>
          <w:szCs w:val="32"/>
        </w:rPr>
        <w:instrText xml:space="preserve"> = 3 \* ROMAN </w:instrText>
      </w:r>
      <w:r>
        <w:rPr>
          <w:b/>
          <w:sz w:val="32"/>
          <w:szCs w:val="32"/>
        </w:rPr>
        <w:fldChar w:fldCharType="separate"/>
      </w:r>
      <w:r>
        <w:rPr>
          <w:b/>
          <w:sz w:val="32"/>
          <w:szCs w:val="32"/>
        </w:rPr>
        <w:t>III</w:t>
      </w:r>
      <w:r>
        <w:rPr>
          <w:b/>
          <w:sz w:val="32"/>
          <w:szCs w:val="32"/>
        </w:rPr>
        <w:fldChar w:fldCharType="end"/>
      </w:r>
      <w:r>
        <w:rPr>
          <w:rFonts w:hint="eastAsia"/>
          <w:b/>
          <w:sz w:val="32"/>
          <w:szCs w:val="32"/>
        </w:rPr>
        <w:t xml:space="preserve">. </w:t>
      </w:r>
      <w:r>
        <w:rPr>
          <w:b/>
          <w:sz w:val="32"/>
          <w:szCs w:val="32"/>
        </w:rPr>
        <w:t>Cultivating Goals</w:t>
      </w:r>
    </w:p>
    <w:p>
      <w:pPr>
        <w:ind w:firstLine="240" w:firstLineChars="100"/>
        <w:rPr>
          <w:sz w:val="24"/>
        </w:rPr>
      </w:pPr>
      <w:r>
        <w:rPr>
          <w:sz w:val="24"/>
        </w:rPr>
        <w:t>1. To master solid foundation theory, the system of specialized knowledge and the necessary experimental skills, be familiar with the trend of the development of the research in science and technology.</w:t>
      </w:r>
    </w:p>
    <w:p>
      <w:pPr>
        <w:ind w:firstLine="240" w:firstLineChars="100"/>
        <w:rPr>
          <w:sz w:val="24"/>
        </w:rPr>
      </w:pPr>
      <w:r>
        <w:rPr>
          <w:sz w:val="24"/>
        </w:rPr>
        <w:t>2. To obtain the innovation of scientific spirit, the ability to engage in scientific research or undertake a specialized technical work independently. To master a foreign language, be able to read specialized literature skillfully, and have the listening and speaking as well as written skills.</w:t>
      </w:r>
    </w:p>
    <w:p>
      <w:pPr>
        <w:ind w:firstLine="240" w:firstLineChars="100"/>
        <w:rPr>
          <w:sz w:val="24"/>
        </w:rPr>
      </w:pPr>
      <w:r>
        <w:rPr>
          <w:sz w:val="24"/>
        </w:rPr>
        <w:t>3. To get a healthy body and good psychological quality.</w:t>
      </w:r>
    </w:p>
    <w:p>
      <w:pPr>
        <w:rPr>
          <w:sz w:val="24"/>
        </w:rPr>
      </w:pPr>
    </w:p>
    <w:p>
      <w:pPr>
        <w:rPr>
          <w:b/>
          <w:sz w:val="32"/>
          <w:szCs w:val="32"/>
        </w:rPr>
      </w:pPr>
      <w:r>
        <w:rPr>
          <w:b/>
          <w:sz w:val="32"/>
          <w:szCs w:val="32"/>
        </w:rPr>
        <w:fldChar w:fldCharType="begin"/>
      </w:r>
      <w:r>
        <w:rPr>
          <w:b/>
          <w:sz w:val="32"/>
          <w:szCs w:val="32"/>
        </w:rPr>
        <w:instrText xml:space="preserve"> = 4 \* ROMAN </w:instrText>
      </w:r>
      <w:r>
        <w:rPr>
          <w:b/>
          <w:sz w:val="32"/>
          <w:szCs w:val="32"/>
        </w:rPr>
        <w:fldChar w:fldCharType="separate"/>
      </w:r>
      <w:r>
        <w:rPr>
          <w:b/>
          <w:sz w:val="32"/>
          <w:szCs w:val="32"/>
        </w:rPr>
        <w:t>IV</w:t>
      </w:r>
      <w:r>
        <w:rPr>
          <w:b/>
          <w:sz w:val="32"/>
          <w:szCs w:val="32"/>
        </w:rPr>
        <w:fldChar w:fldCharType="end"/>
      </w:r>
      <w:r>
        <w:rPr>
          <w:rFonts w:hint="eastAsia"/>
          <w:b/>
          <w:sz w:val="32"/>
          <w:szCs w:val="32"/>
        </w:rPr>
        <w:t xml:space="preserve">. </w:t>
      </w:r>
      <w:r>
        <w:rPr>
          <w:b/>
          <w:sz w:val="32"/>
          <w:szCs w:val="32"/>
        </w:rPr>
        <w:t>Research Fields</w:t>
      </w:r>
    </w:p>
    <w:p>
      <w:pPr>
        <w:rPr>
          <w:sz w:val="24"/>
        </w:rPr>
      </w:pPr>
      <w:r>
        <w:rPr>
          <w:sz w:val="28"/>
          <w:szCs w:val="32"/>
        </w:rPr>
        <w:t>1. Advanced and Prefabricated Civil Engineering Materials</w:t>
      </w:r>
    </w:p>
    <w:p>
      <w:pPr>
        <w:pStyle w:val="35"/>
        <w:numPr>
          <w:ilvl w:val="0"/>
          <w:numId w:val="1"/>
        </w:numPr>
        <w:ind w:left="0" w:firstLineChars="0"/>
        <w:rPr>
          <w:sz w:val="24"/>
        </w:rPr>
      </w:pPr>
      <w:r>
        <w:rPr>
          <w:sz w:val="24"/>
        </w:rPr>
        <w:t>High performance cement-based composites in cold regions</w:t>
      </w:r>
    </w:p>
    <w:p>
      <w:pPr>
        <w:pStyle w:val="35"/>
        <w:numPr>
          <w:ilvl w:val="0"/>
          <w:numId w:val="1"/>
        </w:numPr>
        <w:ind w:left="0" w:firstLineChars="0"/>
        <w:rPr>
          <w:sz w:val="24"/>
        </w:rPr>
      </w:pPr>
      <w:r>
        <w:rPr>
          <w:sz w:val="24"/>
        </w:rPr>
        <w:t>High performance prefabricated building materials</w:t>
      </w:r>
    </w:p>
    <w:p>
      <w:pPr>
        <w:pStyle w:val="35"/>
        <w:numPr>
          <w:ilvl w:val="0"/>
          <w:numId w:val="1"/>
        </w:numPr>
        <w:ind w:left="0" w:firstLineChars="0"/>
        <w:rPr>
          <w:sz w:val="24"/>
        </w:rPr>
      </w:pPr>
      <w:r>
        <w:rPr>
          <w:sz w:val="24"/>
        </w:rPr>
        <w:t>Advanced road engineering materials</w:t>
      </w:r>
    </w:p>
    <w:p>
      <w:pPr>
        <w:rPr>
          <w:sz w:val="28"/>
          <w:szCs w:val="32"/>
        </w:rPr>
      </w:pPr>
      <w:r>
        <w:rPr>
          <w:sz w:val="28"/>
          <w:szCs w:val="32"/>
        </w:rPr>
        <w:t xml:space="preserve">2. Key Materials and Technologies for Building Energy Efficiency </w:t>
      </w:r>
    </w:p>
    <w:p>
      <w:pPr>
        <w:pStyle w:val="35"/>
        <w:numPr>
          <w:ilvl w:val="0"/>
          <w:numId w:val="2"/>
        </w:numPr>
        <w:ind w:left="0" w:firstLineChars="0"/>
        <w:rPr>
          <w:sz w:val="24"/>
        </w:rPr>
      </w:pPr>
      <w:r>
        <w:rPr>
          <w:sz w:val="24"/>
        </w:rPr>
        <w:t>Key materials for high building energy efficiency</w:t>
      </w:r>
    </w:p>
    <w:p>
      <w:pPr>
        <w:pStyle w:val="35"/>
        <w:numPr>
          <w:ilvl w:val="0"/>
          <w:numId w:val="2"/>
        </w:numPr>
        <w:ind w:left="0" w:firstLineChars="0"/>
        <w:rPr>
          <w:sz w:val="24"/>
        </w:rPr>
      </w:pPr>
      <w:r>
        <w:rPr>
          <w:sz w:val="24"/>
        </w:rPr>
        <w:t>Integrated technologies for high building energy efficiency</w:t>
      </w:r>
    </w:p>
    <w:p>
      <w:pPr>
        <w:pStyle w:val="35"/>
        <w:numPr>
          <w:ilvl w:val="0"/>
          <w:numId w:val="2"/>
        </w:numPr>
        <w:ind w:left="0" w:firstLineChars="0"/>
        <w:rPr>
          <w:sz w:val="24"/>
        </w:rPr>
      </w:pPr>
      <w:r>
        <w:rPr>
          <w:sz w:val="24"/>
        </w:rPr>
        <w:t>High performance thermal insulation material</w:t>
      </w:r>
    </w:p>
    <w:p>
      <w:pPr>
        <w:pStyle w:val="35"/>
        <w:numPr>
          <w:ilvl w:val="0"/>
          <w:numId w:val="2"/>
        </w:numPr>
        <w:ind w:left="0" w:firstLineChars="0"/>
        <w:rPr>
          <w:sz w:val="24"/>
        </w:rPr>
      </w:pPr>
      <w:r>
        <w:rPr>
          <w:sz w:val="24"/>
        </w:rPr>
        <w:t>Energy storage building material</w:t>
      </w:r>
    </w:p>
    <w:p>
      <w:pPr>
        <w:rPr>
          <w:sz w:val="24"/>
        </w:rPr>
      </w:pPr>
      <w:r>
        <w:rPr>
          <w:sz w:val="28"/>
          <w:szCs w:val="32"/>
        </w:rPr>
        <w:t>3. Recycling Solid Wastes as Building Materials</w:t>
      </w:r>
    </w:p>
    <w:p>
      <w:pPr>
        <w:pStyle w:val="35"/>
        <w:numPr>
          <w:ilvl w:val="0"/>
          <w:numId w:val="3"/>
        </w:numPr>
        <w:ind w:left="0" w:firstLineChars="0"/>
        <w:rPr>
          <w:sz w:val="24"/>
        </w:rPr>
      </w:pPr>
      <w:r>
        <w:rPr>
          <w:sz w:val="24"/>
        </w:rPr>
        <w:t>Life cycle assessment of building materials</w:t>
      </w:r>
    </w:p>
    <w:p>
      <w:pPr>
        <w:pStyle w:val="35"/>
        <w:numPr>
          <w:ilvl w:val="0"/>
          <w:numId w:val="3"/>
        </w:numPr>
        <w:ind w:left="0" w:firstLineChars="0"/>
        <w:rPr>
          <w:sz w:val="24"/>
        </w:rPr>
      </w:pPr>
      <w:r>
        <w:rPr>
          <w:sz w:val="24"/>
        </w:rPr>
        <w:t>Multi-material system establishment based on waste resources</w:t>
      </w:r>
    </w:p>
    <w:p>
      <w:pPr>
        <w:pStyle w:val="35"/>
        <w:numPr>
          <w:ilvl w:val="0"/>
          <w:numId w:val="3"/>
        </w:numPr>
        <w:ind w:left="0" w:firstLineChars="0"/>
        <w:rPr>
          <w:sz w:val="24"/>
        </w:rPr>
      </w:pPr>
      <w:r>
        <w:rPr>
          <w:rFonts w:hint="eastAsia"/>
          <w:sz w:val="24"/>
        </w:rPr>
        <w:t>H</w:t>
      </w:r>
      <w:r>
        <w:rPr>
          <w:sz w:val="24"/>
        </w:rPr>
        <w:t>igh performance building materials based on waste resources</w:t>
      </w:r>
    </w:p>
    <w:p>
      <w:pPr>
        <w:rPr>
          <w:sz w:val="28"/>
          <w:szCs w:val="32"/>
        </w:rPr>
      </w:pPr>
      <w:r>
        <w:rPr>
          <w:rFonts w:hint="eastAsia"/>
          <w:sz w:val="28"/>
          <w:szCs w:val="32"/>
        </w:rPr>
        <w:t>4</w:t>
      </w:r>
      <w:r>
        <w:rPr>
          <w:sz w:val="28"/>
          <w:szCs w:val="32"/>
        </w:rPr>
        <w:t>. Physical Chemistry of Material Surface</w:t>
      </w:r>
    </w:p>
    <w:p>
      <w:pPr>
        <w:pStyle w:val="35"/>
        <w:numPr>
          <w:ilvl w:val="0"/>
          <w:numId w:val="4"/>
        </w:numPr>
        <w:ind w:left="0" w:firstLineChars="0"/>
        <w:rPr>
          <w:sz w:val="24"/>
        </w:rPr>
      </w:pPr>
      <w:r>
        <w:rPr>
          <w:sz w:val="24"/>
        </w:rPr>
        <w:t>Corrosion and protection of materials surface</w:t>
      </w:r>
    </w:p>
    <w:p>
      <w:pPr>
        <w:pStyle w:val="35"/>
        <w:numPr>
          <w:ilvl w:val="0"/>
          <w:numId w:val="4"/>
        </w:numPr>
        <w:ind w:left="0" w:firstLineChars="0"/>
        <w:rPr>
          <w:sz w:val="24"/>
        </w:rPr>
      </w:pPr>
      <w:r>
        <w:rPr>
          <w:sz w:val="24"/>
        </w:rPr>
        <w:t>New energy materials based on photoelectric conversion</w:t>
      </w:r>
    </w:p>
    <w:p>
      <w:pPr>
        <w:pStyle w:val="35"/>
        <w:numPr>
          <w:ilvl w:val="0"/>
          <w:numId w:val="4"/>
        </w:numPr>
        <w:ind w:left="0" w:firstLineChars="0"/>
        <w:rPr>
          <w:sz w:val="24"/>
        </w:rPr>
      </w:pPr>
      <w:r>
        <w:rPr>
          <w:sz w:val="24"/>
        </w:rPr>
        <w:t>Storage material for photoelectric information</w:t>
      </w:r>
    </w:p>
    <w:p>
      <w:pPr>
        <w:rPr>
          <w:sz w:val="24"/>
        </w:rPr>
      </w:pPr>
    </w:p>
    <w:p>
      <w:pPr>
        <w:rPr>
          <w:b/>
          <w:sz w:val="32"/>
          <w:szCs w:val="32"/>
        </w:rPr>
      </w:pPr>
      <w:r>
        <w:rPr>
          <w:b/>
          <w:sz w:val="32"/>
          <w:szCs w:val="32"/>
        </w:rPr>
        <w:fldChar w:fldCharType="begin"/>
      </w:r>
      <w:r>
        <w:rPr>
          <w:b/>
          <w:sz w:val="32"/>
          <w:szCs w:val="32"/>
        </w:rPr>
        <w:instrText xml:space="preserve"> = 4 \* ROMAN </w:instrText>
      </w:r>
      <w:r>
        <w:rPr>
          <w:b/>
          <w:sz w:val="32"/>
          <w:szCs w:val="32"/>
        </w:rPr>
        <w:fldChar w:fldCharType="separate"/>
      </w:r>
      <w:r>
        <w:rPr>
          <w:b/>
          <w:sz w:val="32"/>
          <w:szCs w:val="32"/>
        </w:rPr>
        <w:t>V</w:t>
      </w:r>
      <w:r>
        <w:rPr>
          <w:b/>
          <w:sz w:val="32"/>
          <w:szCs w:val="32"/>
        </w:rPr>
        <w:fldChar w:fldCharType="end"/>
      </w:r>
      <w:r>
        <w:rPr>
          <w:rFonts w:hint="eastAsia"/>
          <w:b/>
          <w:sz w:val="32"/>
          <w:szCs w:val="32"/>
        </w:rPr>
        <w:t xml:space="preserve">. </w:t>
      </w:r>
      <w:r>
        <w:rPr>
          <w:b/>
          <w:sz w:val="32"/>
          <w:szCs w:val="32"/>
        </w:rPr>
        <w:t>Duration of Schooling</w:t>
      </w:r>
    </w:p>
    <w:p>
      <w:pPr>
        <w:ind w:firstLine="360" w:firstLineChars="150"/>
        <w:rPr>
          <w:sz w:val="24"/>
        </w:rPr>
      </w:pPr>
      <w:r>
        <w:rPr>
          <w:sz w:val="24"/>
        </w:rPr>
        <w:t>Duration of schooling for academic postgraduate student education is 2.5 years, the period of schooling is 2.5 ~ 4 years (including suspension). Course learning time usually lasts 1 year.</w:t>
      </w:r>
    </w:p>
    <w:p>
      <w:pPr>
        <w:ind w:firstLine="360" w:firstLineChars="150"/>
        <w:rPr>
          <w:sz w:val="24"/>
        </w:rPr>
      </w:pPr>
      <w:r>
        <w:rPr>
          <w:sz w:val="24"/>
        </w:rPr>
        <w:t>Excellent postgraduate in course study and thesis writing who are qualified in the examination can apply for graduation defense in advance; those postgraduate students who fail to get requested credits and complete the thesis, they may apply for deferment, but no more than 4 years.</w:t>
      </w:r>
    </w:p>
    <w:p>
      <w:pPr>
        <w:spacing w:line="300" w:lineRule="auto"/>
        <w:ind w:firstLine="360" w:firstLineChars="150"/>
        <w:rPr>
          <w:rFonts w:eastAsia="黑体"/>
          <w:sz w:val="24"/>
        </w:rPr>
      </w:pPr>
      <w:r>
        <w:rPr>
          <w:sz w:val="24"/>
        </w:rPr>
        <w:t>About graduation defense in advance and graduation deferment,  Please check out the two regulations for more details</w:t>
      </w:r>
      <w:r>
        <w:rPr>
          <w:bCs/>
          <w:color w:val="333333"/>
          <w:kern w:val="0"/>
          <w:sz w:val="24"/>
        </w:rPr>
        <w:t xml:space="preserve">, which are  </w:t>
      </w:r>
      <w:r>
        <w:rPr>
          <w:i/>
          <w:sz w:val="24"/>
        </w:rPr>
        <w:t>The Master’s degree thesis defense regulations in advance in Shenyang Jianzhu University</w:t>
      </w:r>
      <w:r>
        <w:rPr>
          <w:rFonts w:eastAsia="黑体"/>
          <w:sz w:val="24"/>
        </w:rPr>
        <w:t xml:space="preserve"> </w:t>
      </w:r>
      <w:r>
        <w:rPr>
          <w:rFonts w:hAnsi="宋体"/>
          <w:bCs/>
          <w:sz w:val="24"/>
        </w:rPr>
        <w:t>and</w:t>
      </w:r>
      <w:r>
        <w:rPr>
          <w:i/>
          <w:sz w:val="24"/>
        </w:rPr>
        <w:t xml:space="preserve"> The postgraduate students</w:t>
      </w:r>
      <w:r>
        <w:rPr>
          <w:sz w:val="24"/>
        </w:rPr>
        <w:t xml:space="preserve"> </w:t>
      </w:r>
      <w:r>
        <w:rPr>
          <w:i/>
          <w:sz w:val="24"/>
        </w:rPr>
        <w:t>graduation deferment regulations in Shenyang Jianzhu University</w:t>
      </w:r>
    </w:p>
    <w:p>
      <w:pPr>
        <w:autoSpaceDE w:val="0"/>
        <w:autoSpaceDN w:val="0"/>
        <w:spacing w:line="288" w:lineRule="auto"/>
        <w:rPr>
          <w:bCs/>
          <w:szCs w:val="21"/>
        </w:rPr>
      </w:pPr>
    </w:p>
    <w:p>
      <w:pPr>
        <w:rPr>
          <w:b/>
          <w:sz w:val="32"/>
          <w:szCs w:val="32"/>
        </w:rPr>
      </w:pPr>
      <w:r>
        <w:rPr>
          <w:b/>
          <w:sz w:val="32"/>
          <w:szCs w:val="32"/>
        </w:rPr>
        <w:fldChar w:fldCharType="begin"/>
      </w:r>
      <w:r>
        <w:rPr>
          <w:b/>
          <w:sz w:val="32"/>
          <w:szCs w:val="32"/>
        </w:rPr>
        <w:instrText xml:space="preserve"> = 4 \* ROMAN </w:instrText>
      </w:r>
      <w:r>
        <w:rPr>
          <w:b/>
          <w:sz w:val="32"/>
          <w:szCs w:val="32"/>
        </w:rPr>
        <w:fldChar w:fldCharType="separate"/>
      </w:r>
      <w:r>
        <w:rPr>
          <w:b/>
          <w:sz w:val="32"/>
          <w:szCs w:val="32"/>
        </w:rPr>
        <w:t>V</w:t>
      </w:r>
      <w:r>
        <w:rPr>
          <w:b/>
          <w:sz w:val="32"/>
          <w:szCs w:val="32"/>
        </w:rPr>
        <w:fldChar w:fldCharType="end"/>
      </w:r>
      <w:r>
        <w:rPr>
          <w:b/>
          <w:sz w:val="32"/>
          <w:szCs w:val="32"/>
        </w:rPr>
        <w:t>I</w:t>
      </w:r>
      <w:r>
        <w:rPr>
          <w:rFonts w:hint="eastAsia"/>
          <w:b/>
          <w:sz w:val="32"/>
          <w:szCs w:val="32"/>
        </w:rPr>
        <w:t xml:space="preserve">. </w:t>
      </w:r>
      <w:r>
        <w:rPr>
          <w:b/>
          <w:sz w:val="32"/>
          <w:szCs w:val="32"/>
        </w:rPr>
        <w:t>Cultivating Mode</w:t>
      </w:r>
    </w:p>
    <w:p>
      <w:pPr>
        <w:ind w:firstLine="240" w:firstLineChars="100"/>
        <w:rPr>
          <w:sz w:val="24"/>
        </w:rPr>
      </w:pPr>
      <w:r>
        <w:rPr>
          <w:sz w:val="24"/>
        </w:rPr>
        <w:t>1. The cultivation process of academic postgraduate students should be integrating theory with practice, which is to help postgraduate students to have an in-depth understanding about the basic theory and specialized knowledge in the discipline. What’s more, it should help postgraduate students to master the basic methods and skills in scientific research in order to foster their scientific research ability.</w:t>
      </w:r>
    </w:p>
    <w:p>
      <w:pPr>
        <w:ind w:firstLine="240" w:firstLineChars="100"/>
        <w:rPr>
          <w:sz w:val="24"/>
        </w:rPr>
      </w:pPr>
      <w:r>
        <w:rPr>
          <w:sz w:val="24"/>
        </w:rPr>
        <w:t>2. The overall responsibility for the supervisor of postgraduates is taken as a way of instruction mode, which advocates that the steering group headed by the supervisor instruct the students together with the supervisor as the first person in charge.</w:t>
      </w:r>
    </w:p>
    <w:p>
      <w:pPr>
        <w:rPr>
          <w:rFonts w:hint="eastAsia"/>
          <w:sz w:val="24"/>
        </w:rPr>
      </w:pPr>
    </w:p>
    <w:p>
      <w:pPr>
        <w:rPr>
          <w:b/>
          <w:sz w:val="32"/>
          <w:szCs w:val="32"/>
        </w:rPr>
      </w:pPr>
      <w:r>
        <w:rPr>
          <w:b/>
          <w:sz w:val="32"/>
          <w:szCs w:val="32"/>
        </w:rPr>
        <w:fldChar w:fldCharType="begin"/>
      </w:r>
      <w:r>
        <w:rPr>
          <w:b/>
          <w:sz w:val="32"/>
          <w:szCs w:val="32"/>
        </w:rPr>
        <w:instrText xml:space="preserve"> = 7 \* ROMAN </w:instrText>
      </w:r>
      <w:r>
        <w:rPr>
          <w:b/>
          <w:sz w:val="32"/>
          <w:szCs w:val="32"/>
        </w:rPr>
        <w:fldChar w:fldCharType="separate"/>
      </w:r>
      <w:r>
        <w:rPr>
          <w:b/>
          <w:sz w:val="32"/>
          <w:szCs w:val="32"/>
        </w:rPr>
        <w:t>VII</w:t>
      </w:r>
      <w:r>
        <w:rPr>
          <w:b/>
          <w:sz w:val="32"/>
          <w:szCs w:val="32"/>
        </w:rPr>
        <w:fldChar w:fldCharType="end"/>
      </w:r>
      <w:r>
        <w:rPr>
          <w:rFonts w:hint="eastAsia"/>
          <w:b/>
          <w:sz w:val="32"/>
          <w:szCs w:val="32"/>
        </w:rPr>
        <w:t>.</w:t>
      </w:r>
      <w:r>
        <w:rPr>
          <w:b/>
          <w:sz w:val="32"/>
          <w:szCs w:val="32"/>
        </w:rPr>
        <w:t xml:space="preserve"> Curriculum and Credit Requirements</w:t>
      </w:r>
    </w:p>
    <w:p>
      <w:pPr>
        <w:rPr>
          <w:sz w:val="28"/>
          <w:szCs w:val="32"/>
        </w:rPr>
      </w:pPr>
      <w:r>
        <w:rPr>
          <w:sz w:val="28"/>
          <w:szCs w:val="32"/>
        </w:rPr>
        <w:t>1. The Curriculum (see the table below)</w:t>
      </w:r>
    </w:p>
    <w:p>
      <w:pPr>
        <w:ind w:firstLine="240" w:firstLineChars="100"/>
        <w:rPr>
          <w:sz w:val="24"/>
        </w:rPr>
      </w:pPr>
      <w:r>
        <w:rPr>
          <w:sz w:val="24"/>
        </w:rPr>
        <w:t xml:space="preserve">The Master's Degree of Material Science and Engineering implements the credit system. Postgraduate students should pass the course examination organized by the university, and only qualified students can get credits for the course. The courses could be divided into three categories: degree course, </w:t>
      </w:r>
      <w:r>
        <w:rPr>
          <w:rFonts w:hint="eastAsia"/>
          <w:sz w:val="24"/>
        </w:rPr>
        <w:t>c</w:t>
      </w:r>
      <w:r>
        <w:rPr>
          <w:sz w:val="24"/>
        </w:rPr>
        <w:t>ompulsory</w:t>
      </w:r>
      <w:r>
        <w:rPr>
          <w:rFonts w:hint="eastAsia"/>
          <w:sz w:val="24"/>
        </w:rPr>
        <w:t xml:space="preserve"> c</w:t>
      </w:r>
      <w:r>
        <w:rPr>
          <w:sz w:val="24"/>
        </w:rPr>
        <w:t xml:space="preserve">ourse and optional </w:t>
      </w:r>
      <w:r>
        <w:rPr>
          <w:rFonts w:hint="eastAsia"/>
          <w:sz w:val="24"/>
        </w:rPr>
        <w:t>c</w:t>
      </w:r>
      <w:r>
        <w:rPr>
          <w:sz w:val="24"/>
        </w:rPr>
        <w:t>ourse.</w:t>
      </w:r>
    </w:p>
    <w:p>
      <w:pPr>
        <w:rPr>
          <w:sz w:val="28"/>
          <w:szCs w:val="32"/>
        </w:rPr>
      </w:pPr>
      <w:r>
        <w:rPr>
          <w:sz w:val="28"/>
          <w:szCs w:val="32"/>
        </w:rPr>
        <w:t>2. Credit Requirements</w:t>
      </w:r>
    </w:p>
    <w:p>
      <w:pPr>
        <w:ind w:firstLine="240" w:firstLineChars="100"/>
        <w:rPr>
          <w:sz w:val="24"/>
        </w:rPr>
      </w:pPr>
      <w:r>
        <w:rPr>
          <w:sz w:val="24"/>
        </w:rPr>
        <w:t>The total credits required should be no less than 1</w:t>
      </w:r>
      <w:r>
        <w:rPr>
          <w:rFonts w:hint="eastAsia"/>
          <w:sz w:val="24"/>
          <w:lang w:val="en-US" w:eastAsia="zh-CN"/>
        </w:rPr>
        <w:t>6</w:t>
      </w:r>
      <w:bookmarkStart w:id="0" w:name="_GoBack"/>
      <w:bookmarkEnd w:id="0"/>
      <w:r>
        <w:rPr>
          <w:sz w:val="24"/>
        </w:rPr>
        <w:t xml:space="preserve"> credits. Among them, the degree course no less than</w:t>
      </w:r>
      <w:r>
        <w:rPr>
          <w:rFonts w:hint="eastAsia"/>
          <w:sz w:val="24"/>
          <w:lang w:val="en-US" w:eastAsia="zh-CN"/>
        </w:rPr>
        <w:t xml:space="preserve"> 8</w:t>
      </w:r>
      <w:r>
        <w:rPr>
          <w:rFonts w:hint="eastAsia"/>
          <w:sz w:val="24"/>
        </w:rPr>
        <w:t xml:space="preserve"> </w:t>
      </w:r>
      <w:r>
        <w:rPr>
          <w:sz w:val="24"/>
        </w:rPr>
        <w:t xml:space="preserve">credits, </w:t>
      </w:r>
      <w:r>
        <w:rPr>
          <w:rFonts w:hint="eastAsia"/>
          <w:sz w:val="24"/>
        </w:rPr>
        <w:t>optional</w:t>
      </w:r>
      <w:r>
        <w:rPr>
          <w:sz w:val="24"/>
        </w:rPr>
        <w:t xml:space="preserve"> </w:t>
      </w:r>
      <w:r>
        <w:rPr>
          <w:rFonts w:hint="eastAsia"/>
          <w:sz w:val="24"/>
        </w:rPr>
        <w:t>c</w:t>
      </w:r>
      <w:r>
        <w:rPr>
          <w:sz w:val="24"/>
        </w:rPr>
        <w:t xml:space="preserve">ourse no less than </w:t>
      </w:r>
      <w:r>
        <w:rPr>
          <w:rFonts w:hint="eastAsia"/>
          <w:sz w:val="24"/>
          <w:lang w:val="en-US" w:eastAsia="zh-CN"/>
        </w:rPr>
        <w:t>7</w:t>
      </w:r>
      <w:r>
        <w:rPr>
          <w:rFonts w:hint="eastAsia"/>
          <w:sz w:val="24"/>
        </w:rPr>
        <w:t xml:space="preserve"> </w:t>
      </w:r>
      <w:r>
        <w:rPr>
          <w:sz w:val="24"/>
        </w:rPr>
        <w:t>credits.</w:t>
      </w:r>
    </w:p>
    <w:p>
      <w:pPr>
        <w:rPr>
          <w:sz w:val="24"/>
        </w:rPr>
      </w:pPr>
    </w:p>
    <w:p>
      <w:pPr>
        <w:rPr>
          <w:b/>
          <w:sz w:val="32"/>
          <w:szCs w:val="32"/>
        </w:rPr>
      </w:pPr>
      <w:r>
        <w:rPr>
          <w:b/>
          <w:sz w:val="32"/>
          <w:szCs w:val="32"/>
        </w:rPr>
        <w:fldChar w:fldCharType="begin"/>
      </w:r>
      <w:r>
        <w:rPr>
          <w:b/>
          <w:sz w:val="32"/>
          <w:szCs w:val="32"/>
        </w:rPr>
        <w:instrText xml:space="preserve"> = 8 \* ROMAN </w:instrText>
      </w:r>
      <w:r>
        <w:rPr>
          <w:b/>
          <w:sz w:val="32"/>
          <w:szCs w:val="32"/>
        </w:rPr>
        <w:fldChar w:fldCharType="separate"/>
      </w:r>
      <w:r>
        <w:rPr>
          <w:b/>
          <w:sz w:val="32"/>
          <w:szCs w:val="32"/>
        </w:rPr>
        <w:t>VIII</w:t>
      </w:r>
      <w:r>
        <w:rPr>
          <w:b/>
          <w:sz w:val="32"/>
          <w:szCs w:val="32"/>
        </w:rPr>
        <w:fldChar w:fldCharType="end"/>
      </w:r>
      <w:r>
        <w:rPr>
          <w:rFonts w:hint="eastAsia"/>
          <w:b/>
          <w:sz w:val="32"/>
          <w:szCs w:val="32"/>
          <w:lang w:val="en-US" w:eastAsia="zh-CN"/>
        </w:rPr>
        <w:t>.</w:t>
      </w:r>
      <w:r>
        <w:rPr>
          <w:b/>
          <w:sz w:val="32"/>
          <w:szCs w:val="32"/>
        </w:rPr>
        <w:t>Thesis Work</w:t>
      </w:r>
    </w:p>
    <w:p>
      <w:pPr>
        <w:ind w:firstLine="360" w:firstLineChars="150"/>
        <w:rPr>
          <w:sz w:val="24"/>
        </w:rPr>
      </w:pPr>
      <w:r>
        <w:rPr>
          <w:sz w:val="24"/>
        </w:rPr>
        <w:t>It should pay attention to cultivating the postgraduate student in the aspects of literature review, theoretical analysis and calculation, experimental operation, scientific research and innovation, and innovation ability to work independently. Specific requirements are as follows:</w:t>
      </w:r>
    </w:p>
    <w:p>
      <w:pPr>
        <w:rPr>
          <w:sz w:val="28"/>
          <w:szCs w:val="32"/>
        </w:rPr>
      </w:pPr>
      <w:r>
        <w:rPr>
          <w:sz w:val="28"/>
          <w:szCs w:val="32"/>
        </w:rPr>
        <w:t>1. The Degree Thesis Writing</w:t>
      </w:r>
    </w:p>
    <w:p>
      <w:pPr>
        <w:ind w:firstLine="240" w:firstLineChars="100"/>
        <w:rPr>
          <w:sz w:val="24"/>
        </w:rPr>
      </w:pPr>
      <w:r>
        <w:rPr>
          <w:sz w:val="24"/>
        </w:rPr>
        <w:t xml:space="preserve">The duration of thesis writing is usually 1 ~ 1.5 years. The thesis should reflect the author research methodology, technology and achievement. The new methods and new technology in the thesis should be advanced and practical, which should have certain economic and social benefits. Thesis writing requires reliable information, correct theory, accurate data, clear argument and succinct expressions. The number of words in the main body of the thesis should be up to 10000 ~ 30000 words. The normalization of degree thesis conform to the requirements of </w:t>
      </w:r>
      <w:r>
        <w:rPr>
          <w:i/>
          <w:sz w:val="24"/>
        </w:rPr>
        <w:t>Regulations for Thesis Writing</w:t>
      </w:r>
      <w:r>
        <w:rPr>
          <w:sz w:val="24"/>
        </w:rPr>
        <w:t xml:space="preserve"> (GB/T7713.1-2006) and </w:t>
      </w:r>
      <w:r>
        <w:rPr>
          <w:i/>
          <w:sz w:val="24"/>
        </w:rPr>
        <w:t>Work Regulations for Degree Thesis Writing of Shenyang Jianzhu University</w:t>
      </w:r>
      <w:r>
        <w:rPr>
          <w:sz w:val="24"/>
        </w:rPr>
        <w:t>.</w:t>
      </w:r>
    </w:p>
    <w:p>
      <w:pPr>
        <w:rPr>
          <w:sz w:val="28"/>
          <w:szCs w:val="32"/>
        </w:rPr>
      </w:pPr>
      <w:r>
        <w:rPr>
          <w:sz w:val="28"/>
          <w:szCs w:val="32"/>
        </w:rPr>
        <w:t>2. Subject Selection and Opening</w:t>
      </w:r>
    </w:p>
    <w:p>
      <w:pPr>
        <w:ind w:firstLine="240" w:firstLineChars="100"/>
        <w:rPr>
          <w:sz w:val="24"/>
        </w:rPr>
      </w:pPr>
      <w:r>
        <w:rPr>
          <w:sz w:val="24"/>
        </w:rPr>
        <w:t>Under the guidance of supervisors, through literature review, investigation and participation in scientific research activities to decide on a certain research subject, the students should propose the thesis proposal to the discipline and the supporting institution, confirm the work plan, make clear the main contents, technical requirements, schedule and arrangement of the thesis. After the approval of the thesis proposal, the students can carry on the thesis work. Excellent thesis will be optional into “outstanding degree thesis data bank” according to the thesis proposal.</w:t>
      </w:r>
    </w:p>
    <w:p>
      <w:pPr>
        <w:rPr>
          <w:sz w:val="24"/>
        </w:rPr>
      </w:pPr>
      <w:r>
        <w:rPr>
          <w:sz w:val="24"/>
        </w:rPr>
        <w:t>The thesis proposal in general will be arranged in the third semester.</w:t>
      </w:r>
    </w:p>
    <w:p>
      <w:pPr>
        <w:rPr>
          <w:sz w:val="28"/>
          <w:szCs w:val="32"/>
        </w:rPr>
      </w:pPr>
      <w:r>
        <w:rPr>
          <w:sz w:val="28"/>
          <w:szCs w:val="32"/>
        </w:rPr>
        <w:t>3. The Mid-term Inspection</w:t>
      </w:r>
    </w:p>
    <w:p>
      <w:pPr>
        <w:ind w:firstLine="240" w:firstLineChars="100"/>
        <w:rPr>
          <w:sz w:val="24"/>
        </w:rPr>
      </w:pPr>
      <w:r>
        <w:rPr>
          <w:sz w:val="24"/>
        </w:rPr>
        <w:t>The mid-term inspection must be carried on during the period of master's degree thesis work. The mid-term inspection panel should be established and a degree thesis mid-term inspection meeting should be carried out to check the progress of the work of postgraduate student degree thesis. It is necessary to get the supervisor’s permission as well as the audit of school (department) if there are changes or adjustment in the process of thesis writing, and then it should be submitted to the postgraduate school for the record. Those students who do not take part in the thesis mid-term inspection for no reason can’t go to the next stage of thesis review and thesis defense. According to the result of the mid-term inspection, the best thesis will be optional to enter into the mid-term stage "outstanding thesis data bank".</w:t>
      </w:r>
    </w:p>
    <w:p>
      <w:pPr>
        <w:rPr>
          <w:sz w:val="24"/>
        </w:rPr>
      </w:pPr>
      <w:r>
        <w:rPr>
          <w:sz w:val="24"/>
        </w:rPr>
        <w:t>The thesis mid-term inspection in general will be arranged in the fourth semester.</w:t>
      </w:r>
    </w:p>
    <w:p>
      <w:pPr>
        <w:rPr>
          <w:sz w:val="28"/>
          <w:szCs w:val="32"/>
        </w:rPr>
      </w:pPr>
      <w:r>
        <w:rPr>
          <w:rFonts w:hint="eastAsia"/>
          <w:sz w:val="28"/>
          <w:szCs w:val="32"/>
        </w:rPr>
        <w:t>4．</w:t>
      </w:r>
      <w:r>
        <w:rPr>
          <w:sz w:val="28"/>
          <w:szCs w:val="32"/>
        </w:rPr>
        <w:t>Academic achievement requirement</w:t>
      </w:r>
    </w:p>
    <w:p>
      <w:pPr>
        <w:ind w:firstLine="240" w:firstLineChars="100"/>
        <w:rPr>
          <w:sz w:val="24"/>
        </w:rPr>
      </w:pPr>
      <w:r>
        <w:rPr>
          <w:sz w:val="24"/>
        </w:rPr>
        <w:t xml:space="preserve">The requirements for academic achievements of postgraduate students in this discipline shall be implemented with reference to the </w:t>
      </w:r>
      <w:r>
        <w:rPr>
          <w:i/>
          <w:sz w:val="24"/>
        </w:rPr>
        <w:t>Work Regulations on Academic Achievements of Master's Students in Shenyang Jianzhu University</w:t>
      </w:r>
      <w:r>
        <w:rPr>
          <w:sz w:val="24"/>
        </w:rPr>
        <w:t>.</w:t>
      </w:r>
    </w:p>
    <w:p>
      <w:pPr>
        <w:rPr>
          <w:sz w:val="28"/>
          <w:szCs w:val="32"/>
        </w:rPr>
      </w:pPr>
      <w:r>
        <w:rPr>
          <w:sz w:val="28"/>
          <w:szCs w:val="32"/>
        </w:rPr>
        <w:t>5. The Pre-Thesis Defense and Formal Thesis Defense</w:t>
      </w:r>
    </w:p>
    <w:p>
      <w:pPr>
        <w:ind w:firstLine="240" w:firstLineChars="100"/>
        <w:rPr>
          <w:sz w:val="24"/>
        </w:rPr>
      </w:pPr>
      <w:r>
        <w:rPr>
          <w:sz w:val="24"/>
        </w:rPr>
        <w:t>Postgraduate students may apply for the defense to the academic degree evaluation committee for defense with the required credits and completion of degree thesis as well as the completion of required courses learning and practice in the program. There must be a pre-defense advance must be before the formal thesis defense.</w:t>
      </w:r>
    </w:p>
    <w:p>
      <w:pPr>
        <w:widowControl/>
        <w:shd w:val="clear" w:color="auto" w:fill="FFFFFF"/>
        <w:ind w:firstLine="240" w:firstLineChars="100"/>
        <w:rPr>
          <w:b/>
          <w:bCs/>
          <w:color w:val="333333"/>
          <w:kern w:val="0"/>
          <w:sz w:val="24"/>
        </w:rPr>
      </w:pPr>
      <w:r>
        <w:rPr>
          <w:sz w:val="24"/>
        </w:rPr>
        <w:t xml:space="preserve">Postgraduate students can take part in the thesis defense after they must pass the thesis review, anonymous review and similarity detection, etc. Please check out </w:t>
      </w:r>
      <w:r>
        <w:rPr>
          <w:i/>
          <w:sz w:val="24"/>
        </w:rPr>
        <w:t>The Master’s degree thesis work regulations in Shenyang Jianzhu University</w:t>
      </w:r>
      <w:r>
        <w:rPr>
          <w:sz w:val="24"/>
        </w:rPr>
        <w:t xml:space="preserve"> for the more detailed</w:t>
      </w:r>
      <w:r>
        <w:rPr>
          <w:rFonts w:ascii="Arial" w:hAnsi="Arial" w:cs="Arial"/>
          <w:color w:val="333333"/>
          <w:sz w:val="24"/>
          <w:shd w:val="clear" w:color="auto" w:fill="FFFFFF"/>
        </w:rPr>
        <w:t>.</w:t>
      </w:r>
      <w:r>
        <w:rPr>
          <w:b/>
          <w:bCs/>
          <w:color w:val="333333"/>
          <w:kern w:val="0"/>
          <w:sz w:val="24"/>
        </w:rPr>
        <w:t xml:space="preserve"> </w:t>
      </w:r>
      <w:r>
        <w:rPr>
          <w:sz w:val="24"/>
        </w:rPr>
        <w:t>The thesis pre-defense and defense in general will be arranged in January, March and June.</w:t>
      </w:r>
    </w:p>
    <w:p>
      <w:pPr>
        <w:autoSpaceDE w:val="0"/>
        <w:autoSpaceDN w:val="0"/>
        <w:spacing w:line="288" w:lineRule="auto"/>
        <w:ind w:firstLine="480" w:firstLineChars="200"/>
        <w:rPr>
          <w:bCs/>
          <w:sz w:val="24"/>
        </w:rPr>
      </w:pPr>
    </w:p>
    <w:p>
      <w:pPr>
        <w:widowControl/>
        <w:jc w:val="left"/>
        <w:rPr>
          <w:rFonts w:hAnsi="华文中宋" w:eastAsia="华文中宋"/>
          <w:b/>
          <w:sz w:val="36"/>
          <w:szCs w:val="36"/>
          <w:u w:val="single"/>
        </w:rPr>
      </w:pPr>
      <w:r>
        <w:rPr>
          <w:rFonts w:hAnsi="华文中宋" w:eastAsia="华文中宋"/>
          <w:b/>
          <w:sz w:val="36"/>
          <w:szCs w:val="36"/>
          <w:u w:val="single"/>
        </w:rPr>
        <w:br w:type="page"/>
      </w:r>
    </w:p>
    <w:p>
      <w:pPr>
        <w:spacing w:line="360" w:lineRule="auto"/>
        <w:jc w:val="center"/>
        <w:rPr>
          <w:rFonts w:eastAsia="黑体"/>
          <w:color w:val="000000"/>
          <w:sz w:val="32"/>
          <w:szCs w:val="32"/>
          <w:u w:val="single"/>
        </w:rPr>
      </w:pPr>
      <w:r>
        <w:rPr>
          <w:rFonts w:eastAsia="黑体"/>
          <w:color w:val="000000"/>
          <w:sz w:val="32"/>
          <w:szCs w:val="32"/>
          <w:u w:val="single"/>
        </w:rPr>
        <w:t>Materials Science and Engineering</w:t>
      </w:r>
    </w:p>
    <w:p>
      <w:pPr>
        <w:jc w:val="center"/>
        <w:rPr>
          <w:sz w:val="28"/>
          <w:szCs w:val="32"/>
        </w:rPr>
      </w:pPr>
      <w:r>
        <w:rPr>
          <w:sz w:val="28"/>
          <w:szCs w:val="32"/>
        </w:rPr>
        <w:t xml:space="preserve">(The Curriculum in English Teaching for Full-time International Postgraduate Student as </w:t>
      </w:r>
      <w:r>
        <w:fldChar w:fldCharType="begin"/>
      </w:r>
      <w:r>
        <w:instrText xml:space="preserve"> HYPERLINK "http://dict.cn/First%20Level%20Disciplines%20Authorized%20to%20Offer%20Doctorate%20Degree" </w:instrText>
      </w:r>
      <w:r>
        <w:fldChar w:fldCharType="separate"/>
      </w:r>
      <w:r>
        <w:rPr>
          <w:rStyle w:val="15"/>
          <w:color w:val="auto"/>
          <w:sz w:val="28"/>
          <w:szCs w:val="32"/>
          <w:u w:val="none"/>
        </w:rPr>
        <w:t>First Level Discipline</w:t>
      </w:r>
      <w:r>
        <w:rPr>
          <w:rStyle w:val="15"/>
          <w:color w:val="auto"/>
          <w:sz w:val="28"/>
          <w:szCs w:val="32"/>
          <w:u w:val="none"/>
        </w:rPr>
        <w:fldChar w:fldCharType="end"/>
      </w:r>
      <w:r>
        <w:rPr>
          <w:rStyle w:val="15"/>
          <w:color w:val="auto"/>
          <w:sz w:val="28"/>
          <w:szCs w:val="32"/>
          <w:u w:val="none"/>
        </w:rPr>
        <w:t>)</w:t>
      </w:r>
    </w:p>
    <w:p>
      <w:pPr>
        <w:widowControl/>
        <w:jc w:val="left"/>
        <w:rPr>
          <w:rFonts w:hint="eastAsia"/>
        </w:rPr>
      </w:pPr>
    </w:p>
    <w:tbl>
      <w:tblPr>
        <w:tblStyle w:val="7"/>
        <w:tblW w:w="103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832"/>
        <w:gridCol w:w="1417"/>
        <w:gridCol w:w="3119"/>
        <w:gridCol w:w="850"/>
        <w:gridCol w:w="709"/>
        <w:gridCol w:w="709"/>
        <w:gridCol w:w="727"/>
        <w:gridCol w:w="1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8" w:hRule="atLeast"/>
          <w:jc w:val="center"/>
        </w:trPr>
        <w:tc>
          <w:tcPr>
            <w:tcW w:w="1668" w:type="dxa"/>
            <w:gridSpan w:val="2"/>
            <w:tcBorders>
              <w:top w:val="single" w:color="auto" w:sz="12" w:space="0"/>
              <w:bottom w:val="single" w:color="auto" w:sz="12" w:space="0"/>
            </w:tcBorders>
            <w:vAlign w:val="center"/>
          </w:tcPr>
          <w:p>
            <w:pPr>
              <w:jc w:val="center"/>
              <w:rPr>
                <w:rFonts w:eastAsia="仿宋_GB2312"/>
                <w:b/>
                <w:sz w:val="18"/>
                <w:szCs w:val="18"/>
              </w:rPr>
            </w:pPr>
            <w:r>
              <w:rPr>
                <w:rFonts w:eastAsia="仿宋_GB2312"/>
                <w:b/>
                <w:sz w:val="18"/>
                <w:szCs w:val="18"/>
              </w:rPr>
              <w:t>Type of Course</w:t>
            </w:r>
          </w:p>
        </w:tc>
        <w:tc>
          <w:tcPr>
            <w:tcW w:w="1417"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Course code</w:t>
            </w:r>
          </w:p>
        </w:tc>
        <w:tc>
          <w:tcPr>
            <w:tcW w:w="3119"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Course name</w:t>
            </w:r>
          </w:p>
        </w:tc>
        <w:tc>
          <w:tcPr>
            <w:tcW w:w="850"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Credit hours</w:t>
            </w:r>
          </w:p>
        </w:tc>
        <w:tc>
          <w:tcPr>
            <w:tcW w:w="709"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Credits</w:t>
            </w:r>
          </w:p>
        </w:tc>
        <w:tc>
          <w:tcPr>
            <w:tcW w:w="709"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Term</w:t>
            </w:r>
          </w:p>
        </w:tc>
        <w:tc>
          <w:tcPr>
            <w:tcW w:w="727"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Assessment</w:t>
            </w:r>
          </w:p>
        </w:tc>
        <w:tc>
          <w:tcPr>
            <w:tcW w:w="1115" w:type="dxa"/>
            <w:tcBorders>
              <w:top w:val="single" w:color="auto" w:sz="12" w:space="0"/>
              <w:bottom w:val="single" w:color="auto" w:sz="12" w:space="0"/>
            </w:tcBorders>
            <w:vAlign w:val="center"/>
          </w:tcPr>
          <w:p>
            <w:pPr>
              <w:autoSpaceDE w:val="0"/>
              <w:autoSpaceDN w:val="0"/>
              <w:adjustRightInd w:val="0"/>
              <w:snapToGrid w:val="0"/>
              <w:jc w:val="center"/>
              <w:rPr>
                <w:rFonts w:eastAsia="仿宋_GB2312"/>
                <w:b/>
                <w:sz w:val="18"/>
                <w:szCs w:val="18"/>
              </w:rPr>
            </w:pPr>
            <w:r>
              <w:rPr>
                <w:rFonts w:eastAsia="仿宋_GB2312"/>
                <w:b/>
                <w:sz w:val="18"/>
                <w:szCs w:val="18"/>
              </w:rPr>
              <w:t>Note</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restart"/>
            <w:vAlign w:val="center"/>
          </w:tcPr>
          <w:p>
            <w:pPr>
              <w:autoSpaceDE w:val="0"/>
              <w:autoSpaceDN w:val="0"/>
              <w:adjustRightInd w:val="0"/>
              <w:snapToGrid w:val="0"/>
              <w:jc w:val="center"/>
              <w:rPr>
                <w:rFonts w:eastAsia="仿宋_GB2312"/>
                <w:sz w:val="18"/>
                <w:szCs w:val="18"/>
              </w:rPr>
            </w:pPr>
            <w:r>
              <w:rPr>
                <w:rFonts w:eastAsia="仿宋_GB2312"/>
                <w:sz w:val="18"/>
                <w:szCs w:val="18"/>
              </w:rPr>
              <w:t>Degree Course</w:t>
            </w:r>
          </w:p>
        </w:tc>
        <w:tc>
          <w:tcPr>
            <w:tcW w:w="832" w:type="dxa"/>
            <w:tcBorders>
              <w:top w:val="single" w:color="auto" w:sz="6"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Basic Compulsory</w:t>
            </w:r>
          </w:p>
        </w:tc>
        <w:tc>
          <w:tcPr>
            <w:tcW w:w="1417"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232011001</w:t>
            </w:r>
          </w:p>
        </w:tc>
        <w:tc>
          <w:tcPr>
            <w:tcW w:w="311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Mathematical Statistics</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1</w:t>
            </w:r>
          </w:p>
        </w:tc>
        <w:tc>
          <w:tcPr>
            <w:tcW w:w="727" w:type="dxa"/>
            <w:vMerge w:val="restart"/>
            <w:vAlign w:val="center"/>
          </w:tcPr>
          <w:p>
            <w:pPr>
              <w:jc w:val="center"/>
              <w:rPr>
                <w:rFonts w:eastAsia="仿宋_GB2312"/>
                <w:sz w:val="18"/>
                <w:szCs w:val="18"/>
              </w:rPr>
            </w:pPr>
            <w:r>
              <w:rPr>
                <w:rFonts w:eastAsia="仿宋_GB2312"/>
                <w:sz w:val="18"/>
                <w:szCs w:val="18"/>
              </w:rPr>
              <w:t>Examination</w:t>
            </w:r>
          </w:p>
        </w:tc>
        <w:tc>
          <w:tcPr>
            <w:tcW w:w="1115" w:type="dxa"/>
            <w:tcBorders>
              <w:top w:val="single" w:color="auto" w:sz="6" w:space="0"/>
            </w:tcBorders>
            <w:vAlign w:val="center"/>
          </w:tcPr>
          <w:p>
            <w:pPr>
              <w:jc w:val="center"/>
              <w:rPr>
                <w:rFonts w:eastAsia="仿宋_GB2312"/>
                <w:sz w:val="18"/>
                <w:szCs w:val="18"/>
              </w:rPr>
            </w:pPr>
            <w:r>
              <w:rPr>
                <w:rFonts w:eastAsia="仿宋_GB2312"/>
                <w:sz w:val="18"/>
                <w:szCs w:val="18"/>
              </w:rPr>
              <w:t>Mandatory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vAlign w:val="center"/>
          </w:tcPr>
          <w:p>
            <w:pPr>
              <w:autoSpaceDE w:val="0"/>
              <w:autoSpaceDN w:val="0"/>
              <w:adjustRightInd w:val="0"/>
              <w:snapToGrid w:val="0"/>
              <w:jc w:val="center"/>
              <w:rPr>
                <w:rFonts w:eastAsia="仿宋_GB2312"/>
                <w:sz w:val="18"/>
                <w:szCs w:val="18"/>
              </w:rPr>
            </w:pPr>
          </w:p>
        </w:tc>
        <w:tc>
          <w:tcPr>
            <w:tcW w:w="832" w:type="dxa"/>
            <w:vMerge w:val="restart"/>
            <w:vAlign w:val="center"/>
          </w:tcPr>
          <w:p>
            <w:pPr>
              <w:autoSpaceDE w:val="0"/>
              <w:autoSpaceDN w:val="0"/>
              <w:adjustRightInd w:val="0"/>
              <w:snapToGrid w:val="0"/>
              <w:jc w:val="center"/>
              <w:rPr>
                <w:rFonts w:eastAsia="仿宋_GB2312"/>
                <w:sz w:val="18"/>
                <w:szCs w:val="18"/>
              </w:rPr>
            </w:pPr>
            <w:r>
              <w:rPr>
                <w:rFonts w:eastAsia="仿宋_GB2312"/>
                <w:sz w:val="18"/>
                <w:szCs w:val="18"/>
              </w:rPr>
              <w:t>Major Compulsory</w:t>
            </w:r>
          </w:p>
        </w:tc>
        <w:tc>
          <w:tcPr>
            <w:tcW w:w="1417"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228111001</w:t>
            </w:r>
          </w:p>
        </w:tc>
        <w:tc>
          <w:tcPr>
            <w:tcW w:w="311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Introduction to Materials Science and Engineering</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1</w:t>
            </w:r>
          </w:p>
        </w:tc>
        <w:tc>
          <w:tcPr>
            <w:tcW w:w="727" w:type="dxa"/>
            <w:vMerge w:val="continue"/>
            <w:tcBorders/>
            <w:vAlign w:val="center"/>
          </w:tcPr>
          <w:p>
            <w:pPr>
              <w:jc w:val="center"/>
              <w:rPr>
                <w:rFonts w:eastAsia="仿宋_GB2312"/>
                <w:sz w:val="18"/>
                <w:szCs w:val="18"/>
              </w:rPr>
            </w:pPr>
          </w:p>
        </w:tc>
        <w:tc>
          <w:tcPr>
            <w:tcW w:w="1115" w:type="dxa"/>
            <w:vMerge w:val="restart"/>
            <w:tcBorders>
              <w:top w:val="single" w:color="auto" w:sz="6" w:space="0"/>
            </w:tcBorders>
            <w:vAlign w:val="center"/>
          </w:tcPr>
          <w:p>
            <w:pPr>
              <w:jc w:val="center"/>
              <w:rPr>
                <w:rFonts w:eastAsia="仿宋_GB2312"/>
                <w:sz w:val="18"/>
                <w:szCs w:val="18"/>
              </w:rPr>
            </w:pPr>
            <w:r>
              <w:rPr>
                <w:rFonts w:hint="eastAsia" w:eastAsia="仿宋_GB2312"/>
                <w:sz w:val="18"/>
                <w:szCs w:val="18"/>
                <w:lang w:val="en-US" w:eastAsia="zh-CN"/>
              </w:rPr>
              <w:t>6</w:t>
            </w:r>
            <w:r>
              <w:rPr>
                <w:rFonts w:eastAsia="仿宋_GB2312"/>
                <w:sz w:val="18"/>
                <w:szCs w:val="18"/>
              </w:rPr>
              <w:t>~</w:t>
            </w:r>
            <w:r>
              <w:rPr>
                <w:rFonts w:hint="eastAsia" w:eastAsia="仿宋_GB2312"/>
                <w:sz w:val="18"/>
                <w:szCs w:val="18"/>
                <w:lang w:val="en-US" w:eastAsia="zh-CN"/>
              </w:rPr>
              <w:t>8</w:t>
            </w:r>
            <w:r>
              <w:rPr>
                <w:rFonts w:eastAsia="仿宋_GB2312"/>
                <w:sz w:val="18"/>
                <w:szCs w:val="18"/>
              </w:rPr>
              <w:t xml:space="preserve"> credits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vAlign w:val="center"/>
          </w:tcPr>
          <w:p>
            <w:pPr>
              <w:autoSpaceDE w:val="0"/>
              <w:autoSpaceDN w:val="0"/>
              <w:adjustRightInd w:val="0"/>
              <w:snapToGrid w:val="0"/>
              <w:jc w:val="center"/>
              <w:rPr>
                <w:rFonts w:eastAsia="仿宋_GB2312"/>
                <w:sz w:val="18"/>
                <w:szCs w:val="18"/>
              </w:rPr>
            </w:pPr>
          </w:p>
        </w:tc>
        <w:tc>
          <w:tcPr>
            <w:tcW w:w="832" w:type="dxa"/>
            <w:vMerge w:val="continue"/>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228111002</w:t>
            </w:r>
          </w:p>
        </w:tc>
        <w:tc>
          <w:tcPr>
            <w:tcW w:w="311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Modern Testing Techniques for Materials</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w:t>
            </w:r>
          </w:p>
        </w:tc>
        <w:tc>
          <w:tcPr>
            <w:tcW w:w="727" w:type="dxa"/>
            <w:vMerge w:val="continue"/>
            <w:tcBorders/>
            <w:vAlign w:val="center"/>
          </w:tcPr>
          <w:p>
            <w:pPr>
              <w:jc w:val="center"/>
              <w:rPr>
                <w:rFonts w:eastAsia="仿宋_GB2312"/>
                <w:sz w:val="18"/>
                <w:szCs w:val="18"/>
              </w:rPr>
            </w:pPr>
          </w:p>
        </w:tc>
        <w:tc>
          <w:tcPr>
            <w:tcW w:w="1115" w:type="dxa"/>
            <w:vMerge w:val="continue"/>
            <w:tcBorders/>
            <w:vAlign w:val="center"/>
          </w:tcPr>
          <w:p>
            <w:pPr>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vAlign w:val="center"/>
          </w:tcPr>
          <w:p>
            <w:pPr>
              <w:autoSpaceDE w:val="0"/>
              <w:autoSpaceDN w:val="0"/>
              <w:adjustRightInd w:val="0"/>
              <w:snapToGrid w:val="0"/>
              <w:jc w:val="center"/>
              <w:rPr>
                <w:rFonts w:eastAsia="仿宋_GB2312"/>
                <w:sz w:val="18"/>
                <w:szCs w:val="18"/>
              </w:rPr>
            </w:pPr>
          </w:p>
        </w:tc>
        <w:tc>
          <w:tcPr>
            <w:tcW w:w="832" w:type="dxa"/>
            <w:vMerge w:val="continue"/>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228111003</w:t>
            </w:r>
          </w:p>
        </w:tc>
        <w:tc>
          <w:tcPr>
            <w:tcW w:w="311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Structure and Properties of Inorganic Materials</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1</w:t>
            </w:r>
          </w:p>
        </w:tc>
        <w:tc>
          <w:tcPr>
            <w:tcW w:w="727" w:type="dxa"/>
            <w:vMerge w:val="continue"/>
            <w:tcBorders/>
            <w:vAlign w:val="center"/>
          </w:tcPr>
          <w:p>
            <w:pPr>
              <w:jc w:val="center"/>
              <w:rPr>
                <w:rFonts w:eastAsia="仿宋_GB2312"/>
                <w:sz w:val="18"/>
                <w:szCs w:val="18"/>
              </w:rPr>
            </w:pPr>
          </w:p>
        </w:tc>
        <w:tc>
          <w:tcPr>
            <w:tcW w:w="1115" w:type="dxa"/>
            <w:vMerge w:val="continue"/>
            <w:tcBorders/>
            <w:vAlign w:val="center"/>
          </w:tcPr>
          <w:p>
            <w:pPr>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vAlign w:val="center"/>
          </w:tcPr>
          <w:p>
            <w:pPr>
              <w:autoSpaceDE w:val="0"/>
              <w:autoSpaceDN w:val="0"/>
              <w:adjustRightInd w:val="0"/>
              <w:snapToGrid w:val="0"/>
              <w:jc w:val="center"/>
              <w:rPr>
                <w:rFonts w:eastAsia="仿宋_GB2312"/>
                <w:sz w:val="18"/>
                <w:szCs w:val="18"/>
              </w:rPr>
            </w:pPr>
          </w:p>
        </w:tc>
        <w:tc>
          <w:tcPr>
            <w:tcW w:w="832" w:type="dxa"/>
            <w:vMerge w:val="continue"/>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228111004</w:t>
            </w:r>
          </w:p>
        </w:tc>
        <w:tc>
          <w:tcPr>
            <w:tcW w:w="311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Computational Materials Science</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2</w:t>
            </w:r>
          </w:p>
        </w:tc>
        <w:tc>
          <w:tcPr>
            <w:tcW w:w="727" w:type="dxa"/>
            <w:vMerge w:val="continue"/>
            <w:tcBorders/>
            <w:vAlign w:val="center"/>
          </w:tcPr>
          <w:p>
            <w:pPr>
              <w:jc w:val="center"/>
              <w:rPr>
                <w:rFonts w:eastAsia="仿宋_GB2312"/>
                <w:sz w:val="18"/>
                <w:szCs w:val="18"/>
              </w:rPr>
            </w:pPr>
          </w:p>
        </w:tc>
        <w:tc>
          <w:tcPr>
            <w:tcW w:w="1115" w:type="dxa"/>
            <w:vMerge w:val="continue"/>
            <w:tcBorders/>
            <w:vAlign w:val="center"/>
          </w:tcPr>
          <w:p>
            <w:pPr>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vAlign w:val="center"/>
          </w:tcPr>
          <w:p>
            <w:pPr>
              <w:autoSpaceDE w:val="0"/>
              <w:autoSpaceDN w:val="0"/>
              <w:adjustRightInd w:val="0"/>
              <w:snapToGrid w:val="0"/>
              <w:jc w:val="center"/>
              <w:rPr>
                <w:rFonts w:eastAsia="仿宋_GB2312"/>
                <w:sz w:val="18"/>
                <w:szCs w:val="18"/>
              </w:rPr>
            </w:pPr>
          </w:p>
        </w:tc>
        <w:tc>
          <w:tcPr>
            <w:tcW w:w="832" w:type="dxa"/>
            <w:vMerge w:val="continue"/>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6" w:space="0"/>
              <w:bottom w:val="single" w:color="auto" w:sz="6" w:space="0"/>
            </w:tcBorders>
            <w:vAlign w:val="center"/>
          </w:tcPr>
          <w:p>
            <w:pPr>
              <w:jc w:val="center"/>
              <w:rPr>
                <w:rFonts w:hint="eastAsia" w:eastAsia="仿宋_GB2312"/>
                <w:sz w:val="18"/>
                <w:szCs w:val="18"/>
                <w:lang w:eastAsia="zh-CN"/>
              </w:rPr>
            </w:pPr>
            <w:r>
              <w:rPr>
                <w:rFonts w:eastAsia="仿宋_GB2312"/>
                <w:sz w:val="18"/>
                <w:szCs w:val="18"/>
              </w:rPr>
              <w:t>22811100</w:t>
            </w:r>
            <w:r>
              <w:rPr>
                <w:rFonts w:hint="eastAsia" w:eastAsia="仿宋_GB2312"/>
                <w:sz w:val="18"/>
                <w:szCs w:val="18"/>
                <w:lang w:val="en-US" w:eastAsia="zh-CN"/>
              </w:rPr>
              <w:t>5</w:t>
            </w:r>
          </w:p>
        </w:tc>
        <w:tc>
          <w:tcPr>
            <w:tcW w:w="3119" w:type="dxa"/>
            <w:tcBorders>
              <w:top w:val="single" w:color="auto" w:sz="6" w:space="0"/>
              <w:bottom w:val="single" w:color="auto" w:sz="6" w:space="0"/>
            </w:tcBorders>
            <w:vAlign w:val="center"/>
          </w:tcPr>
          <w:p>
            <w:pPr>
              <w:jc w:val="center"/>
              <w:rPr>
                <w:rFonts w:eastAsia="仿宋_GB2312"/>
                <w:sz w:val="18"/>
                <w:szCs w:val="18"/>
              </w:rPr>
            </w:pPr>
            <w:r>
              <w:rPr>
                <w:rFonts w:hint="eastAsia" w:ascii="Times New Roman" w:hAnsi="Times New Roman" w:eastAsia="仿宋_GB2312" w:cs="Times New Roman"/>
                <w:color w:val="000000" w:themeColor="text1"/>
                <w:kern w:val="2"/>
                <w:sz w:val="18"/>
                <w:szCs w:val="18"/>
                <w:lang w:val="en-US" w:eastAsia="zh-CN" w:bidi="ar-SA"/>
                <w14:textFill>
                  <w14:solidFill>
                    <w14:schemeClr w14:val="tx1"/>
                  </w14:solidFill>
                </w14:textFill>
              </w:rPr>
              <w:t>Composite Materials Science</w:t>
            </w:r>
          </w:p>
        </w:tc>
        <w:tc>
          <w:tcPr>
            <w:tcW w:w="850" w:type="dxa"/>
            <w:tcBorders>
              <w:top w:val="single" w:color="auto" w:sz="6" w:space="0"/>
              <w:bottom w:val="single" w:color="auto" w:sz="6" w:space="0"/>
            </w:tcBorders>
            <w:vAlign w:val="center"/>
          </w:tcPr>
          <w:p>
            <w:pPr>
              <w:jc w:val="center"/>
              <w:rPr>
                <w:rFonts w:hint="default" w:eastAsia="仿宋_GB2312"/>
                <w:sz w:val="18"/>
                <w:szCs w:val="18"/>
                <w:lang w:val="en-US" w:eastAsia="zh-CN"/>
              </w:rPr>
            </w:pPr>
            <w:r>
              <w:rPr>
                <w:rFonts w:hint="eastAsia" w:eastAsia="仿宋_GB2312"/>
                <w:sz w:val="18"/>
                <w:szCs w:val="18"/>
                <w:lang w:val="en-US" w:eastAsia="zh-CN"/>
              </w:rPr>
              <w:t>32</w:t>
            </w:r>
          </w:p>
        </w:tc>
        <w:tc>
          <w:tcPr>
            <w:tcW w:w="709" w:type="dxa"/>
            <w:tcBorders>
              <w:top w:val="single" w:color="auto" w:sz="6" w:space="0"/>
            </w:tcBorders>
            <w:vAlign w:val="center"/>
          </w:tcPr>
          <w:p>
            <w:pPr>
              <w:jc w:val="center"/>
              <w:rPr>
                <w:rFonts w:hint="eastAsia" w:eastAsia="仿宋_GB2312"/>
                <w:sz w:val="18"/>
                <w:szCs w:val="18"/>
                <w:lang w:val="en-US" w:eastAsia="zh-CN"/>
              </w:rPr>
            </w:pPr>
            <w:r>
              <w:rPr>
                <w:rFonts w:hint="eastAsia" w:eastAsia="仿宋_GB2312"/>
                <w:sz w:val="18"/>
                <w:szCs w:val="18"/>
                <w:lang w:val="en-US" w:eastAsia="zh-CN"/>
              </w:rPr>
              <w:t>2</w:t>
            </w:r>
          </w:p>
        </w:tc>
        <w:tc>
          <w:tcPr>
            <w:tcW w:w="709" w:type="dxa"/>
            <w:tcBorders>
              <w:top w:val="single" w:color="auto" w:sz="6" w:space="0"/>
              <w:bottom w:val="single" w:color="auto" w:sz="6" w:space="0"/>
            </w:tcBorders>
            <w:vAlign w:val="center"/>
          </w:tcPr>
          <w:p>
            <w:pPr>
              <w:autoSpaceDE w:val="0"/>
              <w:autoSpaceDN w:val="0"/>
              <w:adjustRightInd w:val="0"/>
              <w:snapToGrid w:val="0"/>
              <w:jc w:val="center"/>
              <w:rPr>
                <w:rFonts w:hint="eastAsia" w:eastAsia="仿宋_GB2312"/>
                <w:sz w:val="18"/>
                <w:szCs w:val="18"/>
                <w:lang w:val="en-US" w:eastAsia="zh-CN"/>
              </w:rPr>
            </w:pPr>
            <w:r>
              <w:rPr>
                <w:rFonts w:hint="eastAsia" w:eastAsia="仿宋_GB2312"/>
                <w:sz w:val="18"/>
                <w:szCs w:val="18"/>
                <w:lang w:val="en-US" w:eastAsia="zh-CN"/>
              </w:rPr>
              <w:t>1</w:t>
            </w:r>
          </w:p>
        </w:tc>
        <w:tc>
          <w:tcPr>
            <w:tcW w:w="727" w:type="dxa"/>
            <w:vMerge w:val="continue"/>
            <w:tcBorders/>
            <w:vAlign w:val="center"/>
          </w:tcPr>
          <w:p>
            <w:pPr>
              <w:jc w:val="center"/>
              <w:rPr>
                <w:rFonts w:eastAsia="仿宋_GB2312"/>
                <w:sz w:val="18"/>
                <w:szCs w:val="18"/>
              </w:rPr>
            </w:pPr>
          </w:p>
        </w:tc>
        <w:tc>
          <w:tcPr>
            <w:tcW w:w="1115" w:type="dxa"/>
            <w:vMerge w:val="continue"/>
            <w:tcBorders/>
            <w:vAlign w:val="center"/>
          </w:tcPr>
          <w:p>
            <w:pPr>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vAlign w:val="center"/>
          </w:tcPr>
          <w:p>
            <w:pPr>
              <w:autoSpaceDE w:val="0"/>
              <w:autoSpaceDN w:val="0"/>
              <w:adjustRightInd w:val="0"/>
              <w:snapToGrid w:val="0"/>
              <w:jc w:val="center"/>
              <w:rPr>
                <w:rFonts w:eastAsia="仿宋_GB2312"/>
                <w:sz w:val="18"/>
                <w:szCs w:val="18"/>
              </w:rPr>
            </w:pPr>
          </w:p>
        </w:tc>
        <w:tc>
          <w:tcPr>
            <w:tcW w:w="832" w:type="dxa"/>
            <w:vMerge w:val="continue"/>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22811100</w:t>
            </w:r>
            <w:r>
              <w:rPr>
                <w:rFonts w:hint="eastAsia" w:eastAsia="仿宋_GB2312"/>
                <w:sz w:val="18"/>
                <w:szCs w:val="18"/>
                <w:lang w:val="en-US" w:eastAsia="zh-CN"/>
              </w:rPr>
              <w:t>6</w:t>
            </w:r>
          </w:p>
        </w:tc>
        <w:tc>
          <w:tcPr>
            <w:tcW w:w="3119" w:type="dxa"/>
            <w:tcBorders>
              <w:top w:val="single" w:color="auto" w:sz="6" w:space="0"/>
              <w:bottom w:val="single" w:color="auto" w:sz="6" w:space="0"/>
            </w:tcBorders>
            <w:vAlign w:val="center"/>
          </w:tcPr>
          <w:p>
            <w:pPr>
              <w:jc w:val="center"/>
              <w:rPr>
                <w:rFonts w:hint="eastAsia" w:ascii="Times New Roman" w:hAnsi="Times New Roman" w:eastAsia="仿宋_GB2312" w:cs="Times New Roman"/>
                <w:color w:val="000000" w:themeColor="text1"/>
                <w:kern w:val="2"/>
                <w:sz w:val="18"/>
                <w:szCs w:val="18"/>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18"/>
                <w:szCs w:val="18"/>
                <w:lang w:val="en-US" w:eastAsia="zh-CN" w:bidi="ar-SA"/>
                <w14:textFill>
                  <w14:solidFill>
                    <w14:schemeClr w14:val="tx1"/>
                  </w14:solidFill>
                </w14:textFill>
              </w:rPr>
              <w:t>Environment Conscious Material</w:t>
            </w:r>
          </w:p>
        </w:tc>
        <w:tc>
          <w:tcPr>
            <w:tcW w:w="850" w:type="dxa"/>
            <w:tcBorders>
              <w:top w:val="single" w:color="auto" w:sz="6" w:space="0"/>
              <w:bottom w:val="single" w:color="auto" w:sz="6" w:space="0"/>
            </w:tcBorders>
            <w:vAlign w:val="center"/>
          </w:tcPr>
          <w:p>
            <w:pPr>
              <w:jc w:val="center"/>
              <w:rPr>
                <w:rFonts w:hint="default" w:eastAsia="仿宋_GB2312"/>
                <w:sz w:val="18"/>
                <w:szCs w:val="18"/>
                <w:lang w:val="en-US" w:eastAsia="zh-CN"/>
              </w:rPr>
            </w:pPr>
            <w:r>
              <w:rPr>
                <w:rFonts w:hint="eastAsia" w:eastAsia="仿宋_GB2312"/>
                <w:sz w:val="18"/>
                <w:szCs w:val="18"/>
                <w:lang w:val="en-US" w:eastAsia="zh-CN"/>
              </w:rPr>
              <w:t>32</w:t>
            </w:r>
          </w:p>
        </w:tc>
        <w:tc>
          <w:tcPr>
            <w:tcW w:w="709" w:type="dxa"/>
            <w:tcBorders>
              <w:top w:val="single" w:color="auto" w:sz="6" w:space="0"/>
            </w:tcBorders>
            <w:vAlign w:val="center"/>
          </w:tcPr>
          <w:p>
            <w:pPr>
              <w:jc w:val="center"/>
              <w:rPr>
                <w:rFonts w:hint="default" w:eastAsia="仿宋_GB2312"/>
                <w:sz w:val="18"/>
                <w:szCs w:val="18"/>
                <w:lang w:val="en-US" w:eastAsia="zh-CN"/>
              </w:rPr>
            </w:pPr>
            <w:r>
              <w:rPr>
                <w:rFonts w:hint="eastAsia" w:eastAsia="仿宋_GB2312"/>
                <w:sz w:val="18"/>
                <w:szCs w:val="18"/>
                <w:lang w:val="en-US" w:eastAsia="zh-CN"/>
              </w:rPr>
              <w:t>2</w:t>
            </w:r>
          </w:p>
        </w:tc>
        <w:tc>
          <w:tcPr>
            <w:tcW w:w="709" w:type="dxa"/>
            <w:tcBorders>
              <w:top w:val="single" w:color="auto" w:sz="6" w:space="0"/>
              <w:bottom w:val="single" w:color="auto" w:sz="6" w:space="0"/>
            </w:tcBorders>
            <w:vAlign w:val="center"/>
          </w:tcPr>
          <w:p>
            <w:pPr>
              <w:autoSpaceDE w:val="0"/>
              <w:autoSpaceDN w:val="0"/>
              <w:adjustRightInd w:val="0"/>
              <w:snapToGrid w:val="0"/>
              <w:jc w:val="center"/>
              <w:rPr>
                <w:rFonts w:hint="default" w:eastAsia="仿宋_GB2312"/>
                <w:sz w:val="18"/>
                <w:szCs w:val="18"/>
                <w:lang w:val="en-US" w:eastAsia="zh-CN"/>
              </w:rPr>
            </w:pPr>
            <w:r>
              <w:rPr>
                <w:rFonts w:hint="eastAsia" w:eastAsia="仿宋_GB2312"/>
                <w:sz w:val="18"/>
                <w:szCs w:val="18"/>
                <w:lang w:val="en-US" w:eastAsia="zh-CN"/>
              </w:rPr>
              <w:t>1</w:t>
            </w:r>
          </w:p>
        </w:tc>
        <w:tc>
          <w:tcPr>
            <w:tcW w:w="727" w:type="dxa"/>
            <w:vMerge w:val="continue"/>
            <w:tcBorders/>
            <w:vAlign w:val="center"/>
          </w:tcPr>
          <w:p>
            <w:pPr>
              <w:jc w:val="center"/>
              <w:rPr>
                <w:rFonts w:eastAsia="仿宋_GB2312"/>
                <w:sz w:val="18"/>
                <w:szCs w:val="18"/>
              </w:rPr>
            </w:pPr>
          </w:p>
        </w:tc>
        <w:tc>
          <w:tcPr>
            <w:tcW w:w="1115" w:type="dxa"/>
            <w:vMerge w:val="continue"/>
            <w:tcBorders/>
            <w:vAlign w:val="center"/>
          </w:tcPr>
          <w:p>
            <w:pPr>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restart"/>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Optional Course</w:t>
            </w:r>
          </w:p>
        </w:tc>
        <w:tc>
          <w:tcPr>
            <w:tcW w:w="832" w:type="dxa"/>
            <w:vMerge w:val="restart"/>
            <w:tcBorders>
              <w:top w:val="single" w:color="auto" w:sz="12"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Front Field</w:t>
            </w:r>
          </w:p>
        </w:tc>
        <w:tc>
          <w:tcPr>
            <w:tcW w:w="1417" w:type="dxa"/>
            <w:tcBorders>
              <w:top w:val="single" w:color="auto" w:sz="12" w:space="0"/>
              <w:bottom w:val="single" w:color="auto" w:sz="4" w:space="0"/>
            </w:tcBorders>
            <w:vAlign w:val="center"/>
          </w:tcPr>
          <w:p>
            <w:pPr>
              <w:jc w:val="center"/>
              <w:rPr>
                <w:rFonts w:eastAsia="仿宋_GB2312"/>
                <w:sz w:val="18"/>
                <w:szCs w:val="18"/>
              </w:rPr>
            </w:pPr>
            <w:r>
              <w:rPr>
                <w:rFonts w:eastAsia="仿宋_GB2312"/>
                <w:sz w:val="18"/>
                <w:szCs w:val="18"/>
              </w:rPr>
              <w:t>228121001</w:t>
            </w:r>
          </w:p>
        </w:tc>
        <w:tc>
          <w:tcPr>
            <w:tcW w:w="3119" w:type="dxa"/>
            <w:tcBorders>
              <w:top w:val="single" w:color="auto" w:sz="12" w:space="0"/>
              <w:bottom w:val="single" w:color="auto" w:sz="4" w:space="0"/>
            </w:tcBorders>
            <w:vAlign w:val="center"/>
          </w:tcPr>
          <w:p>
            <w:pPr>
              <w:jc w:val="center"/>
              <w:rPr>
                <w:rFonts w:eastAsia="仿宋_GB2312"/>
                <w:sz w:val="18"/>
                <w:szCs w:val="18"/>
              </w:rPr>
            </w:pPr>
            <w:r>
              <w:rPr>
                <w:rFonts w:hint="default" w:ascii="Times New Roman" w:hAnsi="Times New Roman" w:eastAsia="仿宋_GB2312" w:cs="Times New Roman"/>
                <w:color w:val="000000" w:themeColor="text1"/>
                <w:kern w:val="2"/>
                <w:sz w:val="18"/>
                <w:szCs w:val="18"/>
                <w:lang w:val="en-US" w:eastAsia="zh-CN" w:bidi="ar-SA"/>
                <w14:textFill>
                  <w14:solidFill>
                    <w14:schemeClr w14:val="tx1"/>
                  </w14:solidFill>
                </w14:textFill>
              </w:rPr>
              <w:t>Progress of Materials Science</w:t>
            </w:r>
          </w:p>
        </w:tc>
        <w:tc>
          <w:tcPr>
            <w:tcW w:w="850" w:type="dxa"/>
            <w:tcBorders>
              <w:top w:val="single" w:color="auto" w:sz="12" w:space="0"/>
              <w:bottom w:val="single" w:color="auto" w:sz="4" w:space="0"/>
            </w:tcBorders>
            <w:vAlign w:val="center"/>
          </w:tcPr>
          <w:p>
            <w:pPr>
              <w:jc w:val="center"/>
              <w:rPr>
                <w:rFonts w:eastAsia="仿宋_GB2312"/>
                <w:sz w:val="18"/>
                <w:szCs w:val="18"/>
              </w:rPr>
            </w:pPr>
            <w:r>
              <w:rPr>
                <w:rFonts w:eastAsia="仿宋_GB2312"/>
                <w:sz w:val="18"/>
                <w:szCs w:val="18"/>
              </w:rPr>
              <w:t>16</w:t>
            </w:r>
          </w:p>
        </w:tc>
        <w:tc>
          <w:tcPr>
            <w:tcW w:w="709" w:type="dxa"/>
            <w:tcBorders>
              <w:top w:val="single" w:color="auto" w:sz="12" w:space="0"/>
              <w:bottom w:val="single" w:color="auto" w:sz="4" w:space="0"/>
            </w:tcBorders>
            <w:vAlign w:val="center"/>
          </w:tcPr>
          <w:p>
            <w:pPr>
              <w:jc w:val="center"/>
              <w:rPr>
                <w:rFonts w:eastAsia="仿宋_GB2312"/>
                <w:sz w:val="18"/>
                <w:szCs w:val="18"/>
              </w:rPr>
            </w:pPr>
            <w:r>
              <w:rPr>
                <w:rFonts w:eastAsia="仿宋_GB2312"/>
                <w:sz w:val="18"/>
                <w:szCs w:val="18"/>
              </w:rPr>
              <w:t>1</w:t>
            </w:r>
          </w:p>
        </w:tc>
        <w:tc>
          <w:tcPr>
            <w:tcW w:w="709" w:type="dxa"/>
            <w:tcBorders>
              <w:top w:val="single" w:color="auto" w:sz="12" w:space="0"/>
              <w:bottom w:val="single" w:color="auto" w:sz="4" w:space="0"/>
            </w:tcBorders>
            <w:vAlign w:val="center"/>
          </w:tcPr>
          <w:p>
            <w:pPr>
              <w:autoSpaceDE w:val="0"/>
              <w:autoSpaceDN w:val="0"/>
              <w:adjustRightInd w:val="0"/>
              <w:snapToGrid w:val="0"/>
              <w:jc w:val="center"/>
              <w:rPr>
                <w:rFonts w:hint="eastAsia" w:eastAsia="仿宋_GB2312"/>
                <w:sz w:val="18"/>
                <w:szCs w:val="18"/>
                <w:lang w:eastAsia="zh-CN"/>
              </w:rPr>
            </w:pPr>
            <w:r>
              <w:rPr>
                <w:rFonts w:hint="eastAsia" w:eastAsia="仿宋_GB2312"/>
                <w:sz w:val="18"/>
                <w:szCs w:val="18"/>
                <w:lang w:val="en-US" w:eastAsia="zh-CN"/>
              </w:rPr>
              <w:t>1</w:t>
            </w:r>
          </w:p>
        </w:tc>
        <w:tc>
          <w:tcPr>
            <w:tcW w:w="727" w:type="dxa"/>
            <w:vMerge w:val="restart"/>
            <w:tcBorders>
              <w:top w:val="single" w:color="auto" w:sz="12"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Evaluation</w:t>
            </w:r>
          </w:p>
        </w:tc>
        <w:tc>
          <w:tcPr>
            <w:tcW w:w="1115" w:type="dxa"/>
            <w:vMerge w:val="restart"/>
            <w:tcBorders>
              <w:top w:val="single" w:color="auto" w:sz="12" w:space="0"/>
            </w:tcBorders>
            <w:vAlign w:val="center"/>
          </w:tcPr>
          <w:p>
            <w:pPr>
              <w:autoSpaceDE w:val="0"/>
              <w:autoSpaceDN w:val="0"/>
              <w:adjustRightInd w:val="0"/>
              <w:snapToGrid w:val="0"/>
              <w:jc w:val="center"/>
              <w:rPr>
                <w:rFonts w:eastAsia="仿宋_GB2312"/>
                <w:sz w:val="18"/>
                <w:szCs w:val="18"/>
              </w:rPr>
            </w:pPr>
            <w:r>
              <w:rPr>
                <w:rFonts w:hint="eastAsia" w:eastAsia="仿宋_GB2312"/>
                <w:sz w:val="18"/>
                <w:szCs w:val="18"/>
                <w:lang w:val="en-US" w:eastAsia="zh-CN"/>
              </w:rPr>
              <w:t>7</w:t>
            </w:r>
            <w:r>
              <w:rPr>
                <w:rFonts w:eastAsia="仿宋_GB2312"/>
                <w:sz w:val="18"/>
                <w:szCs w:val="18"/>
              </w:rPr>
              <w:t>~</w:t>
            </w:r>
            <w:r>
              <w:rPr>
                <w:rFonts w:hint="eastAsia" w:eastAsia="仿宋_GB2312"/>
                <w:sz w:val="18"/>
                <w:szCs w:val="18"/>
                <w:lang w:val="en-US" w:eastAsia="zh-CN"/>
              </w:rPr>
              <w:t>9</w:t>
            </w:r>
            <w:r>
              <w:rPr>
                <w:rFonts w:eastAsia="仿宋_GB2312"/>
                <w:sz w:val="18"/>
                <w:szCs w:val="18"/>
              </w:rPr>
              <w:t xml:space="preserve"> credits</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tcBorders>
              <w:top w:val="single" w:color="auto" w:sz="12" w:space="0"/>
              <w:right w:val="single" w:color="auto" w:sz="4" w:space="0"/>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eastAsia="zh-CN"/>
              </w:rPr>
            </w:pPr>
            <w:r>
              <w:rPr>
                <w:rFonts w:eastAsia="仿宋_GB2312"/>
                <w:sz w:val="18"/>
                <w:szCs w:val="18"/>
              </w:rPr>
              <w:t>22812100</w:t>
            </w:r>
            <w:r>
              <w:rPr>
                <w:rFonts w:hint="eastAsia" w:eastAsia="仿宋_GB2312"/>
                <w:sz w:val="18"/>
                <w:szCs w:val="18"/>
                <w:lang w:val="en-US" w:eastAsia="zh-CN"/>
              </w:rPr>
              <w:t>2</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Advanced Concrete Science</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4" w:space="0"/>
              <w:left w:val="single" w:color="auto" w:sz="4" w:space="0"/>
              <w:bottom w:val="single" w:color="auto" w:sz="4" w:space="0"/>
            </w:tcBorders>
            <w:vAlign w:val="center"/>
          </w:tcPr>
          <w:p>
            <w:pPr>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tcBorders>
              <w:top w:val="single" w:color="auto" w:sz="12" w:space="0"/>
              <w:right w:val="single" w:color="auto" w:sz="4" w:space="0"/>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eastAsia="zh-CN"/>
              </w:rPr>
            </w:pPr>
            <w:r>
              <w:rPr>
                <w:rFonts w:eastAsia="仿宋_GB2312"/>
                <w:sz w:val="18"/>
                <w:szCs w:val="18"/>
              </w:rPr>
              <w:t>22812100</w:t>
            </w:r>
            <w:r>
              <w:rPr>
                <w:rFonts w:hint="eastAsia" w:eastAsia="仿宋_GB2312"/>
                <w:sz w:val="18"/>
                <w:szCs w:val="18"/>
                <w:lang w:val="en-US" w:eastAsia="zh-CN"/>
              </w:rPr>
              <w:t>3</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Advanced Cementitious Materials</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1</w:t>
            </w:r>
          </w:p>
        </w:tc>
        <w:tc>
          <w:tcPr>
            <w:tcW w:w="709" w:type="dxa"/>
            <w:tcBorders>
              <w:top w:val="single" w:color="auto" w:sz="4" w:space="0"/>
              <w:left w:val="single" w:color="auto" w:sz="4" w:space="0"/>
              <w:bottom w:val="single" w:color="auto" w:sz="4" w:space="0"/>
            </w:tcBorders>
            <w:vAlign w:val="center"/>
          </w:tcPr>
          <w:p>
            <w:pPr>
              <w:jc w:val="center"/>
              <w:rPr>
                <w:rFonts w:hint="eastAsia" w:eastAsia="仿宋_GB2312"/>
                <w:sz w:val="18"/>
                <w:szCs w:val="18"/>
                <w:lang w:eastAsia="zh-CN"/>
              </w:rPr>
            </w:pPr>
            <w:r>
              <w:rPr>
                <w:rFonts w:hint="eastAsia" w:eastAsia="仿宋_GB2312"/>
                <w:sz w:val="18"/>
                <w:szCs w:val="18"/>
                <w:lang w:val="en-US" w:eastAsia="zh-CN"/>
              </w:rPr>
              <w:t>1</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tcBorders>
              <w:top w:val="single" w:color="auto" w:sz="12" w:space="0"/>
              <w:right w:val="single" w:color="auto" w:sz="4" w:space="0"/>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eastAsia="zh-CN"/>
              </w:rPr>
            </w:pPr>
            <w:r>
              <w:rPr>
                <w:rFonts w:eastAsia="仿宋_GB2312"/>
                <w:sz w:val="18"/>
                <w:szCs w:val="18"/>
              </w:rPr>
              <w:t>22812100</w:t>
            </w:r>
            <w:r>
              <w:rPr>
                <w:rFonts w:hint="eastAsia" w:eastAsia="仿宋_GB2312"/>
                <w:sz w:val="18"/>
                <w:szCs w:val="18"/>
                <w:lang w:val="en-US" w:eastAsia="zh-CN"/>
              </w:rPr>
              <w:t>4</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Concrete Admixtures Application</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1</w:t>
            </w:r>
          </w:p>
        </w:tc>
        <w:tc>
          <w:tcPr>
            <w:tcW w:w="709" w:type="dxa"/>
            <w:tcBorders>
              <w:top w:val="single" w:color="auto" w:sz="4" w:space="0"/>
              <w:left w:val="single" w:color="auto" w:sz="4" w:space="0"/>
              <w:bottom w:val="single" w:color="auto" w:sz="4"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tcBorders>
              <w:top w:val="single" w:color="auto" w:sz="12" w:space="0"/>
              <w:right w:val="single" w:color="auto" w:sz="4" w:space="0"/>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eastAsia="zh-CN"/>
              </w:rPr>
            </w:pPr>
            <w:r>
              <w:rPr>
                <w:rFonts w:eastAsia="仿宋_GB2312"/>
                <w:sz w:val="18"/>
                <w:szCs w:val="18"/>
              </w:rPr>
              <w:t>2281210</w:t>
            </w:r>
            <w:r>
              <w:rPr>
                <w:rFonts w:hint="eastAsia" w:eastAsia="仿宋_GB2312"/>
                <w:sz w:val="18"/>
                <w:szCs w:val="18"/>
                <w:lang w:val="en-US" w:eastAsia="zh-CN"/>
              </w:rPr>
              <w:t>5</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Advanced Functional Building Materials</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4" w:space="0"/>
              <w:left w:val="single" w:color="auto" w:sz="4" w:space="0"/>
              <w:bottom w:val="single" w:color="auto" w:sz="4"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tcBorders>
              <w:top w:val="single" w:color="auto" w:sz="12" w:space="0"/>
              <w:right w:val="single" w:color="auto" w:sz="4" w:space="0"/>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eastAsia="zh-CN"/>
              </w:rPr>
            </w:pPr>
            <w:r>
              <w:rPr>
                <w:rFonts w:eastAsia="仿宋_GB2312"/>
                <w:sz w:val="18"/>
                <w:szCs w:val="18"/>
              </w:rPr>
              <w:t>22812100</w:t>
            </w:r>
            <w:r>
              <w:rPr>
                <w:rFonts w:hint="eastAsia" w:eastAsia="仿宋_GB2312"/>
                <w:sz w:val="18"/>
                <w:szCs w:val="18"/>
                <w:lang w:val="en-US" w:eastAsia="zh-CN"/>
              </w:rPr>
              <w:t>6</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Prefabricated Building Materials</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4" w:space="0"/>
              <w:left w:val="single" w:color="auto" w:sz="4" w:space="0"/>
              <w:bottom w:val="single" w:color="auto" w:sz="4" w:space="0"/>
            </w:tcBorders>
            <w:vAlign w:val="center"/>
          </w:tcPr>
          <w:p>
            <w:pPr>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12"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tcBorders>
              <w:top w:val="single" w:color="auto" w:sz="12" w:space="0"/>
              <w:right w:val="single" w:color="auto" w:sz="4" w:space="0"/>
            </w:tcBorders>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sz w:val="18"/>
                <w:szCs w:val="18"/>
                <w:lang w:eastAsia="zh-CN"/>
              </w:rPr>
            </w:pPr>
            <w:r>
              <w:rPr>
                <w:rFonts w:eastAsia="仿宋_GB2312"/>
                <w:sz w:val="18"/>
                <w:szCs w:val="18"/>
              </w:rPr>
              <w:t>22812100</w:t>
            </w:r>
            <w:r>
              <w:rPr>
                <w:rFonts w:hint="eastAsia" w:eastAsia="仿宋_GB2312"/>
                <w:sz w:val="18"/>
                <w:szCs w:val="18"/>
                <w:lang w:val="en-US" w:eastAsia="zh-CN"/>
              </w:rPr>
              <w:t>7</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Advanced Road Engineering Materials</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16</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 w:val="18"/>
                <w:szCs w:val="18"/>
              </w:rPr>
            </w:pPr>
            <w:r>
              <w:rPr>
                <w:rFonts w:eastAsia="仿宋_GB2312"/>
                <w:sz w:val="18"/>
                <w:szCs w:val="18"/>
              </w:rPr>
              <w:t>1</w:t>
            </w:r>
          </w:p>
        </w:tc>
        <w:tc>
          <w:tcPr>
            <w:tcW w:w="709" w:type="dxa"/>
            <w:tcBorders>
              <w:top w:val="single" w:color="auto" w:sz="4" w:space="0"/>
              <w:left w:val="single" w:color="auto" w:sz="4" w:space="0"/>
              <w:bottom w:val="single" w:color="auto" w:sz="4" w:space="0"/>
            </w:tcBorders>
            <w:vAlign w:val="center"/>
          </w:tcPr>
          <w:p>
            <w:pPr>
              <w:autoSpaceDE w:val="0"/>
              <w:autoSpaceDN w:val="0"/>
              <w:adjustRightInd w:val="0"/>
              <w:snapToGrid w:val="0"/>
              <w:jc w:val="center"/>
              <w:rPr>
                <w:rFonts w:hint="eastAsia" w:eastAsia="仿宋_GB2312"/>
                <w:sz w:val="18"/>
                <w:szCs w:val="18"/>
                <w:lang w:eastAsia="zh-CN"/>
              </w:rPr>
            </w:pPr>
            <w:r>
              <w:rPr>
                <w:rFonts w:hint="eastAsia" w:eastAsia="仿宋_GB2312"/>
                <w:sz w:val="18"/>
                <w:szCs w:val="18"/>
                <w:lang w:val="en-US" w:eastAsia="zh-CN"/>
              </w:rPr>
              <w:t>1</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vAlign w:val="center"/>
          </w:tcPr>
          <w:p>
            <w:pPr>
              <w:autoSpaceDE w:val="0"/>
              <w:autoSpaceDN w:val="0"/>
              <w:adjustRightInd w:val="0"/>
              <w:snapToGrid w:val="0"/>
              <w:jc w:val="center"/>
              <w:rPr>
                <w:rFonts w:eastAsia="仿宋_GB2312"/>
                <w:sz w:val="18"/>
                <w:szCs w:val="18"/>
              </w:rPr>
            </w:pPr>
          </w:p>
        </w:tc>
        <w:tc>
          <w:tcPr>
            <w:tcW w:w="1417" w:type="dxa"/>
            <w:tcBorders>
              <w:top w:val="single" w:color="auto" w:sz="4" w:space="0"/>
              <w:bottom w:val="single" w:color="auto" w:sz="6" w:space="0"/>
            </w:tcBorders>
            <w:vAlign w:val="center"/>
          </w:tcPr>
          <w:p>
            <w:pPr>
              <w:jc w:val="center"/>
              <w:rPr>
                <w:rFonts w:hint="eastAsia" w:eastAsia="仿宋_GB2312"/>
                <w:sz w:val="18"/>
                <w:szCs w:val="18"/>
                <w:lang w:eastAsia="zh-CN"/>
              </w:rPr>
            </w:pPr>
            <w:r>
              <w:rPr>
                <w:rFonts w:eastAsia="仿宋_GB2312"/>
                <w:sz w:val="18"/>
                <w:szCs w:val="18"/>
              </w:rPr>
              <w:t>22812100</w:t>
            </w:r>
            <w:r>
              <w:rPr>
                <w:rFonts w:hint="eastAsia" w:eastAsia="仿宋_GB2312"/>
                <w:sz w:val="18"/>
                <w:szCs w:val="18"/>
                <w:lang w:val="en-US" w:eastAsia="zh-CN"/>
              </w:rPr>
              <w:t>8</w:t>
            </w:r>
          </w:p>
        </w:tc>
        <w:tc>
          <w:tcPr>
            <w:tcW w:w="3119" w:type="dxa"/>
            <w:tcBorders>
              <w:top w:val="single" w:color="auto" w:sz="4" w:space="0"/>
              <w:bottom w:val="single" w:color="auto" w:sz="6" w:space="0"/>
            </w:tcBorders>
            <w:vAlign w:val="center"/>
          </w:tcPr>
          <w:p>
            <w:pPr>
              <w:jc w:val="center"/>
              <w:rPr>
                <w:rFonts w:eastAsia="仿宋_GB2312"/>
                <w:sz w:val="18"/>
                <w:szCs w:val="18"/>
              </w:rPr>
            </w:pPr>
            <w:r>
              <w:rPr>
                <w:rFonts w:eastAsia="仿宋_GB2312"/>
                <w:sz w:val="18"/>
                <w:szCs w:val="18"/>
              </w:rPr>
              <w:t>Advanced Preparation Technology of Materials</w:t>
            </w:r>
          </w:p>
        </w:tc>
        <w:tc>
          <w:tcPr>
            <w:tcW w:w="850" w:type="dxa"/>
            <w:tcBorders>
              <w:top w:val="single" w:color="auto" w:sz="4"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4" w:space="0"/>
              <w:bottom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4" w:space="0"/>
              <w:bottom w:val="single" w:color="auto" w:sz="6"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vAlign w:val="center"/>
          </w:tcPr>
          <w:p>
            <w:pPr>
              <w:autoSpaceDE w:val="0"/>
              <w:autoSpaceDN w:val="0"/>
              <w:adjustRightInd w:val="0"/>
              <w:snapToGrid w:val="0"/>
              <w:jc w:val="center"/>
              <w:rPr>
                <w:rFonts w:eastAsia="仿宋_GB2312"/>
                <w:sz w:val="18"/>
                <w:szCs w:val="18"/>
              </w:rPr>
            </w:pPr>
          </w:p>
        </w:tc>
        <w:tc>
          <w:tcPr>
            <w:tcW w:w="1417" w:type="dxa"/>
            <w:tcBorders>
              <w:bottom w:val="single" w:color="auto" w:sz="6" w:space="0"/>
            </w:tcBorders>
            <w:vAlign w:val="center"/>
          </w:tcPr>
          <w:p>
            <w:pPr>
              <w:jc w:val="center"/>
              <w:rPr>
                <w:rFonts w:hint="default" w:eastAsia="仿宋_GB2312"/>
                <w:sz w:val="18"/>
                <w:szCs w:val="18"/>
                <w:lang w:val="en-US" w:eastAsia="zh-CN"/>
              </w:rPr>
            </w:pPr>
            <w:r>
              <w:rPr>
                <w:rFonts w:eastAsia="仿宋_GB2312"/>
                <w:sz w:val="18"/>
                <w:szCs w:val="18"/>
              </w:rPr>
              <w:t>2281210</w:t>
            </w:r>
            <w:r>
              <w:rPr>
                <w:rFonts w:hint="eastAsia" w:eastAsia="仿宋_GB2312"/>
                <w:sz w:val="18"/>
                <w:szCs w:val="18"/>
                <w:lang w:val="en-US" w:eastAsia="zh-CN"/>
              </w:rPr>
              <w:t>09</w:t>
            </w:r>
          </w:p>
        </w:tc>
        <w:tc>
          <w:tcPr>
            <w:tcW w:w="3119" w:type="dxa"/>
            <w:tcBorders>
              <w:bottom w:val="single" w:color="auto" w:sz="6" w:space="0"/>
            </w:tcBorders>
            <w:vAlign w:val="center"/>
          </w:tcPr>
          <w:p>
            <w:pPr>
              <w:jc w:val="center"/>
              <w:rPr>
                <w:rFonts w:eastAsia="仿宋_GB2312"/>
                <w:sz w:val="18"/>
                <w:szCs w:val="18"/>
              </w:rPr>
            </w:pPr>
            <w:r>
              <w:rPr>
                <w:rFonts w:eastAsia="仿宋_GB2312"/>
                <w:sz w:val="18"/>
                <w:szCs w:val="18"/>
              </w:rPr>
              <w:t>Material Surface Engineering</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1</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vAlign w:val="center"/>
          </w:tcPr>
          <w:p>
            <w:pPr>
              <w:autoSpaceDE w:val="0"/>
              <w:autoSpaceDN w:val="0"/>
              <w:adjustRightInd w:val="0"/>
              <w:snapToGrid w:val="0"/>
              <w:jc w:val="center"/>
              <w:rPr>
                <w:rFonts w:eastAsia="仿宋_GB2312"/>
                <w:sz w:val="18"/>
                <w:szCs w:val="18"/>
              </w:rPr>
            </w:pPr>
          </w:p>
        </w:tc>
        <w:tc>
          <w:tcPr>
            <w:tcW w:w="1417" w:type="dxa"/>
            <w:tcBorders>
              <w:bottom w:val="single" w:color="auto" w:sz="6" w:space="0"/>
            </w:tcBorders>
            <w:vAlign w:val="center"/>
          </w:tcPr>
          <w:p>
            <w:pPr>
              <w:jc w:val="center"/>
              <w:rPr>
                <w:rFonts w:hint="eastAsia" w:eastAsia="仿宋_GB2312"/>
                <w:sz w:val="18"/>
                <w:szCs w:val="18"/>
                <w:lang w:eastAsia="zh-CN"/>
              </w:rPr>
            </w:pPr>
            <w:r>
              <w:rPr>
                <w:rFonts w:eastAsia="仿宋_GB2312"/>
                <w:sz w:val="18"/>
                <w:szCs w:val="18"/>
              </w:rPr>
              <w:t>22812101</w:t>
            </w:r>
            <w:r>
              <w:rPr>
                <w:rFonts w:hint="eastAsia" w:eastAsia="仿宋_GB2312"/>
                <w:sz w:val="18"/>
                <w:szCs w:val="18"/>
                <w:lang w:val="en-US" w:eastAsia="zh-CN"/>
              </w:rPr>
              <w:t>0</w:t>
            </w:r>
          </w:p>
        </w:tc>
        <w:tc>
          <w:tcPr>
            <w:tcW w:w="3119" w:type="dxa"/>
            <w:tcBorders>
              <w:bottom w:val="single" w:color="auto" w:sz="6" w:space="0"/>
            </w:tcBorders>
            <w:vAlign w:val="center"/>
          </w:tcPr>
          <w:p>
            <w:pPr>
              <w:jc w:val="center"/>
              <w:rPr>
                <w:rFonts w:eastAsia="仿宋_GB2312"/>
                <w:sz w:val="18"/>
                <w:szCs w:val="18"/>
              </w:rPr>
            </w:pPr>
            <w:r>
              <w:rPr>
                <w:rFonts w:eastAsia="仿宋_GB2312"/>
                <w:sz w:val="18"/>
                <w:szCs w:val="18"/>
              </w:rPr>
              <w:t>Synthesis and Preparation of Materials</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1</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vAlign w:val="center"/>
          </w:tcPr>
          <w:p>
            <w:pPr>
              <w:autoSpaceDE w:val="0"/>
              <w:autoSpaceDN w:val="0"/>
              <w:adjustRightInd w:val="0"/>
              <w:snapToGrid w:val="0"/>
              <w:jc w:val="center"/>
              <w:rPr>
                <w:rFonts w:eastAsia="仿宋_GB2312"/>
                <w:sz w:val="18"/>
                <w:szCs w:val="18"/>
              </w:rPr>
            </w:pPr>
          </w:p>
        </w:tc>
        <w:tc>
          <w:tcPr>
            <w:tcW w:w="1417" w:type="dxa"/>
            <w:tcBorders>
              <w:bottom w:val="single" w:color="auto" w:sz="6" w:space="0"/>
            </w:tcBorders>
            <w:vAlign w:val="center"/>
          </w:tcPr>
          <w:p>
            <w:pPr>
              <w:jc w:val="center"/>
              <w:rPr>
                <w:rFonts w:hint="eastAsia" w:eastAsia="仿宋_GB2312"/>
                <w:sz w:val="18"/>
                <w:szCs w:val="18"/>
                <w:lang w:eastAsia="zh-CN"/>
              </w:rPr>
            </w:pPr>
            <w:r>
              <w:rPr>
                <w:rFonts w:eastAsia="仿宋_GB2312"/>
                <w:sz w:val="18"/>
                <w:szCs w:val="18"/>
              </w:rPr>
              <w:t>22812101</w:t>
            </w:r>
            <w:r>
              <w:rPr>
                <w:rFonts w:hint="eastAsia" w:eastAsia="仿宋_GB2312"/>
                <w:sz w:val="18"/>
                <w:szCs w:val="18"/>
                <w:lang w:val="en-US" w:eastAsia="zh-CN"/>
              </w:rPr>
              <w:t>1</w:t>
            </w:r>
          </w:p>
        </w:tc>
        <w:tc>
          <w:tcPr>
            <w:tcW w:w="3119" w:type="dxa"/>
            <w:tcBorders>
              <w:bottom w:val="single" w:color="auto" w:sz="6" w:space="0"/>
            </w:tcBorders>
            <w:vAlign w:val="center"/>
          </w:tcPr>
          <w:p>
            <w:pPr>
              <w:jc w:val="center"/>
              <w:rPr>
                <w:rFonts w:eastAsia="仿宋_GB2312"/>
                <w:sz w:val="18"/>
                <w:szCs w:val="18"/>
              </w:rPr>
            </w:pPr>
            <w:r>
              <w:rPr>
                <w:rFonts w:eastAsia="仿宋_GB2312"/>
                <w:sz w:val="18"/>
                <w:szCs w:val="18"/>
              </w:rPr>
              <w:t>Thin Film Material and Technology</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836" w:type="dxa"/>
            <w:vMerge w:val="continue"/>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p>
        </w:tc>
        <w:tc>
          <w:tcPr>
            <w:tcW w:w="832" w:type="dxa"/>
            <w:vMerge w:val="continue"/>
            <w:vAlign w:val="center"/>
          </w:tcPr>
          <w:p>
            <w:pPr>
              <w:autoSpaceDE w:val="0"/>
              <w:autoSpaceDN w:val="0"/>
              <w:adjustRightInd w:val="0"/>
              <w:snapToGrid w:val="0"/>
              <w:jc w:val="center"/>
              <w:rPr>
                <w:rFonts w:eastAsia="仿宋_GB2312"/>
                <w:sz w:val="18"/>
                <w:szCs w:val="18"/>
              </w:rPr>
            </w:pPr>
          </w:p>
        </w:tc>
        <w:tc>
          <w:tcPr>
            <w:tcW w:w="1417" w:type="dxa"/>
            <w:tcBorders>
              <w:bottom w:val="single" w:color="auto" w:sz="6" w:space="0"/>
            </w:tcBorders>
            <w:vAlign w:val="center"/>
          </w:tcPr>
          <w:p>
            <w:pPr>
              <w:jc w:val="center"/>
              <w:rPr>
                <w:rFonts w:hint="eastAsia" w:eastAsia="仿宋_GB2312"/>
                <w:sz w:val="18"/>
                <w:szCs w:val="18"/>
                <w:lang w:eastAsia="zh-CN"/>
              </w:rPr>
            </w:pPr>
            <w:r>
              <w:rPr>
                <w:rFonts w:eastAsia="仿宋_GB2312"/>
                <w:sz w:val="18"/>
                <w:szCs w:val="18"/>
              </w:rPr>
              <w:t>22812101</w:t>
            </w:r>
            <w:r>
              <w:rPr>
                <w:rFonts w:hint="eastAsia" w:eastAsia="仿宋_GB2312"/>
                <w:sz w:val="18"/>
                <w:szCs w:val="18"/>
                <w:lang w:val="en-US" w:eastAsia="zh-CN"/>
              </w:rPr>
              <w:t>2</w:t>
            </w:r>
          </w:p>
        </w:tc>
        <w:tc>
          <w:tcPr>
            <w:tcW w:w="3119" w:type="dxa"/>
            <w:tcBorders>
              <w:bottom w:val="single" w:color="auto" w:sz="6" w:space="0"/>
            </w:tcBorders>
            <w:vAlign w:val="center"/>
          </w:tcPr>
          <w:p>
            <w:pPr>
              <w:jc w:val="center"/>
              <w:rPr>
                <w:rFonts w:eastAsia="仿宋_GB2312"/>
                <w:sz w:val="18"/>
                <w:szCs w:val="18"/>
              </w:rPr>
            </w:pPr>
            <w:r>
              <w:rPr>
                <w:rFonts w:eastAsia="仿宋_GB2312"/>
                <w:sz w:val="18"/>
                <w:szCs w:val="18"/>
              </w:rPr>
              <w:t>Structure and Properties of Polymers</w:t>
            </w:r>
          </w:p>
        </w:tc>
        <w:tc>
          <w:tcPr>
            <w:tcW w:w="850"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32</w:t>
            </w:r>
          </w:p>
        </w:tc>
        <w:tc>
          <w:tcPr>
            <w:tcW w:w="709" w:type="dxa"/>
            <w:tcBorders>
              <w:top w:val="single" w:color="auto" w:sz="6" w:space="0"/>
              <w:bottom w:val="single" w:color="auto" w:sz="6" w:space="0"/>
            </w:tcBorders>
            <w:vAlign w:val="center"/>
          </w:tcPr>
          <w:p>
            <w:pPr>
              <w:jc w:val="center"/>
              <w:rPr>
                <w:rFonts w:eastAsia="仿宋_GB2312"/>
                <w:sz w:val="18"/>
                <w:szCs w:val="18"/>
              </w:rPr>
            </w:pPr>
            <w:r>
              <w:rPr>
                <w:rFonts w:eastAsia="仿宋_GB2312"/>
                <w:sz w:val="18"/>
                <w:szCs w:val="18"/>
              </w:rPr>
              <w:t>2</w:t>
            </w:r>
          </w:p>
        </w:tc>
        <w:tc>
          <w:tcPr>
            <w:tcW w:w="709" w:type="dxa"/>
            <w:tcBorders>
              <w:top w:val="single" w:color="auto" w:sz="6" w:space="0"/>
              <w:bottom w:val="single" w:color="auto" w:sz="6" w:space="0"/>
            </w:tcBorders>
            <w:vAlign w:val="center"/>
          </w:tcPr>
          <w:p>
            <w:pPr>
              <w:autoSpaceDE w:val="0"/>
              <w:autoSpaceDN w:val="0"/>
              <w:adjustRightInd w:val="0"/>
              <w:snapToGrid w:val="0"/>
              <w:jc w:val="center"/>
              <w:rPr>
                <w:rFonts w:eastAsia="仿宋_GB2312"/>
                <w:sz w:val="18"/>
                <w:szCs w:val="18"/>
              </w:rPr>
            </w:pPr>
            <w:r>
              <w:rPr>
                <w:rFonts w:eastAsia="仿宋_GB2312"/>
                <w:sz w:val="18"/>
                <w:szCs w:val="18"/>
              </w:rPr>
              <w:t>2</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Merge w:val="continue"/>
            <w:vAlign w:val="center"/>
          </w:tcPr>
          <w:p>
            <w:pPr>
              <w:autoSpaceDE w:val="0"/>
              <w:autoSpaceDN w:val="0"/>
              <w:adjustRightInd w:val="0"/>
              <w:snapToGrid w:val="0"/>
              <w:jc w:val="center"/>
              <w:rPr>
                <w:rFonts w:eastAsia="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668" w:type="dxa"/>
            <w:gridSpan w:val="2"/>
            <w:vAlign w:val="center"/>
          </w:tcPr>
          <w:p>
            <w:pPr>
              <w:autoSpaceDE w:val="0"/>
              <w:autoSpaceDN w:val="0"/>
              <w:adjustRightInd w:val="0"/>
              <w:snapToGrid w:val="0"/>
              <w:jc w:val="center"/>
              <w:rPr>
                <w:rFonts w:eastAsia="仿宋_GB2312"/>
                <w:sz w:val="18"/>
                <w:szCs w:val="18"/>
              </w:rPr>
            </w:pPr>
            <w:r>
              <w:rPr>
                <w:rFonts w:eastAsia="仿宋_GB2312"/>
                <w:sz w:val="18"/>
                <w:szCs w:val="18"/>
              </w:rPr>
              <w:t>Compulsory Mode</w:t>
            </w:r>
          </w:p>
        </w:tc>
        <w:tc>
          <w:tcPr>
            <w:tcW w:w="1417" w:type="dxa"/>
            <w:vAlign w:val="center"/>
          </w:tcPr>
          <w:p>
            <w:pPr>
              <w:jc w:val="center"/>
              <w:rPr>
                <w:rFonts w:eastAsia="仿宋_GB2312"/>
                <w:sz w:val="18"/>
                <w:szCs w:val="18"/>
              </w:rPr>
            </w:pPr>
            <w:r>
              <w:rPr>
                <w:rFonts w:eastAsia="仿宋_GB2312"/>
                <w:sz w:val="18"/>
                <w:szCs w:val="18"/>
              </w:rPr>
              <w:t>228141002</w:t>
            </w:r>
          </w:p>
        </w:tc>
        <w:tc>
          <w:tcPr>
            <w:tcW w:w="3119" w:type="dxa"/>
            <w:vAlign w:val="center"/>
          </w:tcPr>
          <w:p>
            <w:pPr>
              <w:autoSpaceDE w:val="0"/>
              <w:autoSpaceDN w:val="0"/>
              <w:adjustRightInd w:val="0"/>
              <w:snapToGrid w:val="0"/>
              <w:jc w:val="center"/>
              <w:rPr>
                <w:rFonts w:eastAsia="仿宋_GB2312"/>
                <w:sz w:val="18"/>
                <w:szCs w:val="18"/>
              </w:rPr>
            </w:pPr>
            <w:r>
              <w:rPr>
                <w:rFonts w:eastAsia="仿宋_GB2312"/>
                <w:sz w:val="18"/>
                <w:szCs w:val="18"/>
              </w:rPr>
              <w:t>Academic communication</w:t>
            </w:r>
          </w:p>
        </w:tc>
        <w:tc>
          <w:tcPr>
            <w:tcW w:w="850" w:type="dxa"/>
            <w:vAlign w:val="center"/>
          </w:tcPr>
          <w:p>
            <w:pPr>
              <w:autoSpaceDE w:val="0"/>
              <w:autoSpaceDN w:val="0"/>
              <w:adjustRightInd w:val="0"/>
              <w:snapToGrid w:val="0"/>
              <w:jc w:val="center"/>
              <w:rPr>
                <w:rFonts w:eastAsia="仿宋_GB2312"/>
                <w:sz w:val="18"/>
                <w:szCs w:val="18"/>
              </w:rPr>
            </w:pPr>
            <w:r>
              <w:rPr>
                <w:rFonts w:eastAsia="仿宋_GB2312"/>
                <w:sz w:val="18"/>
                <w:szCs w:val="18"/>
              </w:rPr>
              <w:t>at least 10 times</w:t>
            </w:r>
          </w:p>
        </w:tc>
        <w:tc>
          <w:tcPr>
            <w:tcW w:w="709" w:type="dxa"/>
            <w:vAlign w:val="center"/>
          </w:tcPr>
          <w:p>
            <w:pPr>
              <w:autoSpaceDE w:val="0"/>
              <w:autoSpaceDN w:val="0"/>
              <w:adjustRightInd w:val="0"/>
              <w:snapToGrid w:val="0"/>
              <w:jc w:val="center"/>
              <w:rPr>
                <w:sz w:val="18"/>
                <w:szCs w:val="18"/>
              </w:rPr>
            </w:pPr>
            <w:r>
              <w:rPr>
                <w:sz w:val="18"/>
                <w:szCs w:val="18"/>
              </w:rPr>
              <w:t>1</w:t>
            </w:r>
          </w:p>
        </w:tc>
        <w:tc>
          <w:tcPr>
            <w:tcW w:w="709" w:type="dxa"/>
            <w:vAlign w:val="center"/>
          </w:tcPr>
          <w:p>
            <w:pPr>
              <w:autoSpaceDE w:val="0"/>
              <w:autoSpaceDN w:val="0"/>
              <w:adjustRightInd w:val="0"/>
              <w:snapToGrid w:val="0"/>
              <w:jc w:val="center"/>
              <w:rPr>
                <w:rFonts w:eastAsia="仿宋_GB2312"/>
                <w:sz w:val="18"/>
                <w:szCs w:val="18"/>
              </w:rPr>
            </w:pPr>
            <w:r>
              <w:rPr>
                <w:rFonts w:eastAsia="仿宋_GB2312"/>
                <w:sz w:val="18"/>
                <w:szCs w:val="18"/>
              </w:rPr>
              <w:t>1~4</w:t>
            </w:r>
          </w:p>
        </w:tc>
        <w:tc>
          <w:tcPr>
            <w:tcW w:w="727" w:type="dxa"/>
            <w:vMerge w:val="continue"/>
            <w:vAlign w:val="center"/>
          </w:tcPr>
          <w:p>
            <w:pPr>
              <w:autoSpaceDE w:val="0"/>
              <w:autoSpaceDN w:val="0"/>
              <w:adjustRightInd w:val="0"/>
              <w:snapToGrid w:val="0"/>
              <w:jc w:val="center"/>
              <w:rPr>
                <w:rFonts w:eastAsia="仿宋_GB2312"/>
                <w:sz w:val="18"/>
                <w:szCs w:val="18"/>
              </w:rPr>
            </w:pPr>
          </w:p>
        </w:tc>
        <w:tc>
          <w:tcPr>
            <w:tcW w:w="1115" w:type="dxa"/>
            <w:vAlign w:val="center"/>
          </w:tcPr>
          <w:p>
            <w:pPr>
              <w:autoSpaceDE w:val="0"/>
              <w:autoSpaceDN w:val="0"/>
              <w:adjustRightInd w:val="0"/>
              <w:snapToGrid w:val="0"/>
              <w:jc w:val="center"/>
              <w:rPr>
                <w:rFonts w:eastAsia="仿宋_GB2312"/>
                <w:sz w:val="18"/>
                <w:szCs w:val="18"/>
              </w:rPr>
            </w:pP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2A76"/>
    <w:multiLevelType w:val="multilevel"/>
    <w:tmpl w:val="51CB2A7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221486A"/>
    <w:multiLevelType w:val="multilevel"/>
    <w:tmpl w:val="622148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92264A7"/>
    <w:multiLevelType w:val="multilevel"/>
    <w:tmpl w:val="792264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79E21815"/>
    <w:multiLevelType w:val="multilevel"/>
    <w:tmpl w:val="79E2181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2C"/>
    <w:rsid w:val="000048D3"/>
    <w:rsid w:val="0000572C"/>
    <w:rsid w:val="0001165E"/>
    <w:rsid w:val="00025860"/>
    <w:rsid w:val="000343BE"/>
    <w:rsid w:val="000355F0"/>
    <w:rsid w:val="00035D75"/>
    <w:rsid w:val="00043CFE"/>
    <w:rsid w:val="000516CD"/>
    <w:rsid w:val="0005291F"/>
    <w:rsid w:val="00053661"/>
    <w:rsid w:val="000606DD"/>
    <w:rsid w:val="00060B35"/>
    <w:rsid w:val="00060BEE"/>
    <w:rsid w:val="00062FBF"/>
    <w:rsid w:val="00063F4C"/>
    <w:rsid w:val="00072565"/>
    <w:rsid w:val="00077E1A"/>
    <w:rsid w:val="0008045C"/>
    <w:rsid w:val="00080754"/>
    <w:rsid w:val="00081FA8"/>
    <w:rsid w:val="00087DE7"/>
    <w:rsid w:val="00097C47"/>
    <w:rsid w:val="000A2E7B"/>
    <w:rsid w:val="000A4447"/>
    <w:rsid w:val="000B3EC7"/>
    <w:rsid w:val="000B42FD"/>
    <w:rsid w:val="000C3DC9"/>
    <w:rsid w:val="000C61BE"/>
    <w:rsid w:val="000D02D0"/>
    <w:rsid w:val="000D0A15"/>
    <w:rsid w:val="000E28D8"/>
    <w:rsid w:val="000E4437"/>
    <w:rsid w:val="000F0A7B"/>
    <w:rsid w:val="000F69EF"/>
    <w:rsid w:val="001017C4"/>
    <w:rsid w:val="00102E28"/>
    <w:rsid w:val="00114F53"/>
    <w:rsid w:val="00117A08"/>
    <w:rsid w:val="0013286D"/>
    <w:rsid w:val="00141E7C"/>
    <w:rsid w:val="001525BD"/>
    <w:rsid w:val="00154768"/>
    <w:rsid w:val="001607F1"/>
    <w:rsid w:val="00160901"/>
    <w:rsid w:val="00165498"/>
    <w:rsid w:val="00180B04"/>
    <w:rsid w:val="00181750"/>
    <w:rsid w:val="001A2AE3"/>
    <w:rsid w:val="001B6461"/>
    <w:rsid w:val="001C068C"/>
    <w:rsid w:val="001C495C"/>
    <w:rsid w:val="001D06AB"/>
    <w:rsid w:val="001D4636"/>
    <w:rsid w:val="001D60A6"/>
    <w:rsid w:val="001F3647"/>
    <w:rsid w:val="001F5819"/>
    <w:rsid w:val="002052B9"/>
    <w:rsid w:val="00210AAB"/>
    <w:rsid w:val="002137A6"/>
    <w:rsid w:val="002161CB"/>
    <w:rsid w:val="00216529"/>
    <w:rsid w:val="00220521"/>
    <w:rsid w:val="00231FEB"/>
    <w:rsid w:val="00235D60"/>
    <w:rsid w:val="00243B0B"/>
    <w:rsid w:val="00247327"/>
    <w:rsid w:val="002671AC"/>
    <w:rsid w:val="00273012"/>
    <w:rsid w:val="00281B9D"/>
    <w:rsid w:val="002B0236"/>
    <w:rsid w:val="002B396F"/>
    <w:rsid w:val="002B7CE3"/>
    <w:rsid w:val="002C0800"/>
    <w:rsid w:val="002C4783"/>
    <w:rsid w:val="002C4C03"/>
    <w:rsid w:val="002D6937"/>
    <w:rsid w:val="002F18FA"/>
    <w:rsid w:val="002F636E"/>
    <w:rsid w:val="00307AA6"/>
    <w:rsid w:val="00316D85"/>
    <w:rsid w:val="003242B5"/>
    <w:rsid w:val="00326F9D"/>
    <w:rsid w:val="00332FF0"/>
    <w:rsid w:val="003359EA"/>
    <w:rsid w:val="003530D1"/>
    <w:rsid w:val="00376831"/>
    <w:rsid w:val="00377410"/>
    <w:rsid w:val="00395376"/>
    <w:rsid w:val="00397D8A"/>
    <w:rsid w:val="003A0D74"/>
    <w:rsid w:val="003A6C32"/>
    <w:rsid w:val="003B3208"/>
    <w:rsid w:val="003C4220"/>
    <w:rsid w:val="003E377E"/>
    <w:rsid w:val="003E573B"/>
    <w:rsid w:val="003E584C"/>
    <w:rsid w:val="003E5FC8"/>
    <w:rsid w:val="003F19F9"/>
    <w:rsid w:val="003F2B41"/>
    <w:rsid w:val="00406B7B"/>
    <w:rsid w:val="004307AD"/>
    <w:rsid w:val="00433432"/>
    <w:rsid w:val="0043795F"/>
    <w:rsid w:val="004462EE"/>
    <w:rsid w:val="00456EBE"/>
    <w:rsid w:val="00460087"/>
    <w:rsid w:val="0047090E"/>
    <w:rsid w:val="0047352B"/>
    <w:rsid w:val="00477902"/>
    <w:rsid w:val="00481171"/>
    <w:rsid w:val="004910E8"/>
    <w:rsid w:val="004A0FAF"/>
    <w:rsid w:val="004B1B15"/>
    <w:rsid w:val="004B58C2"/>
    <w:rsid w:val="004D114F"/>
    <w:rsid w:val="004D1E33"/>
    <w:rsid w:val="004D4505"/>
    <w:rsid w:val="004D457E"/>
    <w:rsid w:val="004D542D"/>
    <w:rsid w:val="004D6EDD"/>
    <w:rsid w:val="004F361D"/>
    <w:rsid w:val="005021B6"/>
    <w:rsid w:val="00523ED3"/>
    <w:rsid w:val="00530C9D"/>
    <w:rsid w:val="00541DE4"/>
    <w:rsid w:val="005516D7"/>
    <w:rsid w:val="0056239A"/>
    <w:rsid w:val="00564E17"/>
    <w:rsid w:val="0057452D"/>
    <w:rsid w:val="00575D3A"/>
    <w:rsid w:val="0058094C"/>
    <w:rsid w:val="00586AD0"/>
    <w:rsid w:val="00594566"/>
    <w:rsid w:val="00595216"/>
    <w:rsid w:val="005A0347"/>
    <w:rsid w:val="005B5760"/>
    <w:rsid w:val="005C05F5"/>
    <w:rsid w:val="005C08C5"/>
    <w:rsid w:val="005D7C51"/>
    <w:rsid w:val="005E22E1"/>
    <w:rsid w:val="005E7A12"/>
    <w:rsid w:val="005E7A3C"/>
    <w:rsid w:val="00602C57"/>
    <w:rsid w:val="00603C08"/>
    <w:rsid w:val="00604798"/>
    <w:rsid w:val="00605395"/>
    <w:rsid w:val="00607190"/>
    <w:rsid w:val="0064426B"/>
    <w:rsid w:val="00646A84"/>
    <w:rsid w:val="006608DD"/>
    <w:rsid w:val="00662BD4"/>
    <w:rsid w:val="0069140B"/>
    <w:rsid w:val="006A0BFC"/>
    <w:rsid w:val="006B082B"/>
    <w:rsid w:val="006B40A1"/>
    <w:rsid w:val="006B43C2"/>
    <w:rsid w:val="006E4279"/>
    <w:rsid w:val="006F2884"/>
    <w:rsid w:val="00705E5B"/>
    <w:rsid w:val="00716900"/>
    <w:rsid w:val="00731BE9"/>
    <w:rsid w:val="00732C02"/>
    <w:rsid w:val="007366AD"/>
    <w:rsid w:val="00742C1D"/>
    <w:rsid w:val="007508FD"/>
    <w:rsid w:val="00751DBC"/>
    <w:rsid w:val="00753E1B"/>
    <w:rsid w:val="00755092"/>
    <w:rsid w:val="0077540A"/>
    <w:rsid w:val="007807CF"/>
    <w:rsid w:val="00782728"/>
    <w:rsid w:val="0078756C"/>
    <w:rsid w:val="00795734"/>
    <w:rsid w:val="007958C4"/>
    <w:rsid w:val="00796945"/>
    <w:rsid w:val="007A192D"/>
    <w:rsid w:val="007A19A9"/>
    <w:rsid w:val="007C42BA"/>
    <w:rsid w:val="007E0FB6"/>
    <w:rsid w:val="007E11A3"/>
    <w:rsid w:val="007E7B39"/>
    <w:rsid w:val="007F4A06"/>
    <w:rsid w:val="00802031"/>
    <w:rsid w:val="00802F96"/>
    <w:rsid w:val="00810C0C"/>
    <w:rsid w:val="00811F5A"/>
    <w:rsid w:val="00815CCE"/>
    <w:rsid w:val="00816049"/>
    <w:rsid w:val="00817968"/>
    <w:rsid w:val="00823648"/>
    <w:rsid w:val="00837373"/>
    <w:rsid w:val="00837E8C"/>
    <w:rsid w:val="00871D37"/>
    <w:rsid w:val="00882986"/>
    <w:rsid w:val="008976A5"/>
    <w:rsid w:val="008C792C"/>
    <w:rsid w:val="008D3F90"/>
    <w:rsid w:val="0090526F"/>
    <w:rsid w:val="0091002F"/>
    <w:rsid w:val="00934705"/>
    <w:rsid w:val="00934A5B"/>
    <w:rsid w:val="00937913"/>
    <w:rsid w:val="0094344A"/>
    <w:rsid w:val="00946E01"/>
    <w:rsid w:val="00947A54"/>
    <w:rsid w:val="00960BD6"/>
    <w:rsid w:val="00961770"/>
    <w:rsid w:val="0096420C"/>
    <w:rsid w:val="00980DDB"/>
    <w:rsid w:val="00983680"/>
    <w:rsid w:val="009A1D8C"/>
    <w:rsid w:val="009B5169"/>
    <w:rsid w:val="009C188A"/>
    <w:rsid w:val="009D17CE"/>
    <w:rsid w:val="009D2AA4"/>
    <w:rsid w:val="009D7C0E"/>
    <w:rsid w:val="009E231B"/>
    <w:rsid w:val="009E45B2"/>
    <w:rsid w:val="009F3FC3"/>
    <w:rsid w:val="00A1798B"/>
    <w:rsid w:val="00A3304F"/>
    <w:rsid w:val="00A62635"/>
    <w:rsid w:val="00A65E6F"/>
    <w:rsid w:val="00A710F1"/>
    <w:rsid w:val="00A8733D"/>
    <w:rsid w:val="00AA6662"/>
    <w:rsid w:val="00AA68ED"/>
    <w:rsid w:val="00AB44B6"/>
    <w:rsid w:val="00AB7FC8"/>
    <w:rsid w:val="00AC10CD"/>
    <w:rsid w:val="00AC25FD"/>
    <w:rsid w:val="00AD60D6"/>
    <w:rsid w:val="00AE43F0"/>
    <w:rsid w:val="00AE5FBB"/>
    <w:rsid w:val="00AF3CFC"/>
    <w:rsid w:val="00B03376"/>
    <w:rsid w:val="00B0391F"/>
    <w:rsid w:val="00B16382"/>
    <w:rsid w:val="00B2370D"/>
    <w:rsid w:val="00B23939"/>
    <w:rsid w:val="00B35CB6"/>
    <w:rsid w:val="00B461E3"/>
    <w:rsid w:val="00B51B46"/>
    <w:rsid w:val="00B66294"/>
    <w:rsid w:val="00B714E1"/>
    <w:rsid w:val="00B74552"/>
    <w:rsid w:val="00B76C77"/>
    <w:rsid w:val="00B83E89"/>
    <w:rsid w:val="00B90569"/>
    <w:rsid w:val="00B94C53"/>
    <w:rsid w:val="00B9615E"/>
    <w:rsid w:val="00B9655E"/>
    <w:rsid w:val="00BB1F9F"/>
    <w:rsid w:val="00BB56D4"/>
    <w:rsid w:val="00BD50EE"/>
    <w:rsid w:val="00BD60A4"/>
    <w:rsid w:val="00BE01EC"/>
    <w:rsid w:val="00BF0A2B"/>
    <w:rsid w:val="00BF47E1"/>
    <w:rsid w:val="00C03612"/>
    <w:rsid w:val="00C04093"/>
    <w:rsid w:val="00C07772"/>
    <w:rsid w:val="00C077C6"/>
    <w:rsid w:val="00C15230"/>
    <w:rsid w:val="00C20A62"/>
    <w:rsid w:val="00C23439"/>
    <w:rsid w:val="00C5061A"/>
    <w:rsid w:val="00C51D9F"/>
    <w:rsid w:val="00C555FE"/>
    <w:rsid w:val="00C73EB0"/>
    <w:rsid w:val="00C8639D"/>
    <w:rsid w:val="00CC134F"/>
    <w:rsid w:val="00CD15DA"/>
    <w:rsid w:val="00CD736A"/>
    <w:rsid w:val="00CD7E32"/>
    <w:rsid w:val="00CF2933"/>
    <w:rsid w:val="00D04389"/>
    <w:rsid w:val="00D0594D"/>
    <w:rsid w:val="00D1398E"/>
    <w:rsid w:val="00D175D0"/>
    <w:rsid w:val="00D178CA"/>
    <w:rsid w:val="00D334B5"/>
    <w:rsid w:val="00D33B08"/>
    <w:rsid w:val="00D44ACA"/>
    <w:rsid w:val="00D57919"/>
    <w:rsid w:val="00D7166E"/>
    <w:rsid w:val="00D77882"/>
    <w:rsid w:val="00D82990"/>
    <w:rsid w:val="00D94384"/>
    <w:rsid w:val="00D97D4E"/>
    <w:rsid w:val="00DA4E48"/>
    <w:rsid w:val="00DB330A"/>
    <w:rsid w:val="00DB5911"/>
    <w:rsid w:val="00DB7F03"/>
    <w:rsid w:val="00DC5B05"/>
    <w:rsid w:val="00DE3061"/>
    <w:rsid w:val="00E064D3"/>
    <w:rsid w:val="00E07EA4"/>
    <w:rsid w:val="00E14E98"/>
    <w:rsid w:val="00E15989"/>
    <w:rsid w:val="00E33B33"/>
    <w:rsid w:val="00E40AB0"/>
    <w:rsid w:val="00E420C4"/>
    <w:rsid w:val="00E454EE"/>
    <w:rsid w:val="00E55DED"/>
    <w:rsid w:val="00E5614B"/>
    <w:rsid w:val="00E71649"/>
    <w:rsid w:val="00E72EDB"/>
    <w:rsid w:val="00E738C7"/>
    <w:rsid w:val="00E744B4"/>
    <w:rsid w:val="00E85AA4"/>
    <w:rsid w:val="00E90417"/>
    <w:rsid w:val="00EB4498"/>
    <w:rsid w:val="00EE02CF"/>
    <w:rsid w:val="00EE2285"/>
    <w:rsid w:val="00EE5D10"/>
    <w:rsid w:val="00F07241"/>
    <w:rsid w:val="00F1261D"/>
    <w:rsid w:val="00F15B80"/>
    <w:rsid w:val="00F201E6"/>
    <w:rsid w:val="00F2696D"/>
    <w:rsid w:val="00F276EA"/>
    <w:rsid w:val="00F321BF"/>
    <w:rsid w:val="00F422B8"/>
    <w:rsid w:val="00F42DE4"/>
    <w:rsid w:val="00F47595"/>
    <w:rsid w:val="00F5636B"/>
    <w:rsid w:val="00F8167C"/>
    <w:rsid w:val="00F83D09"/>
    <w:rsid w:val="00F85BC1"/>
    <w:rsid w:val="00FA0712"/>
    <w:rsid w:val="00FA18CA"/>
    <w:rsid w:val="00FA24CD"/>
    <w:rsid w:val="00FA6D91"/>
    <w:rsid w:val="00FB25BB"/>
    <w:rsid w:val="00FB3327"/>
    <w:rsid w:val="00FB37C8"/>
    <w:rsid w:val="00FF755F"/>
    <w:rsid w:val="07541BAA"/>
    <w:rsid w:val="10ED6471"/>
    <w:rsid w:val="15471E8B"/>
    <w:rsid w:val="17C01763"/>
    <w:rsid w:val="1F716AD4"/>
    <w:rsid w:val="252C69A1"/>
    <w:rsid w:val="28AA75C1"/>
    <w:rsid w:val="2BCD1CDD"/>
    <w:rsid w:val="2EC672D8"/>
    <w:rsid w:val="31827F5D"/>
    <w:rsid w:val="37304A45"/>
    <w:rsid w:val="37AF0195"/>
    <w:rsid w:val="3B344B63"/>
    <w:rsid w:val="406E737B"/>
    <w:rsid w:val="42773900"/>
    <w:rsid w:val="4B6604EB"/>
    <w:rsid w:val="5172307D"/>
    <w:rsid w:val="52DB509F"/>
    <w:rsid w:val="54751577"/>
    <w:rsid w:val="56796E6B"/>
    <w:rsid w:val="5BEB795F"/>
    <w:rsid w:val="61F058CF"/>
    <w:rsid w:val="61F63B98"/>
    <w:rsid w:val="659568A1"/>
    <w:rsid w:val="66485D16"/>
    <w:rsid w:val="668D2DAA"/>
    <w:rsid w:val="6C7C19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semiHidden="0" w:name="FollowedHyperlink"/>
    <w:lsdException w:qFormat="1" w:unhideWhenUsed="0" w:uiPriority="0"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uiPriority="99" w:semiHidden="0" w:name="Normal (Web)"/>
    <w:lsdException w:uiPriority="99" w:semiHidden="0" w:name="HTML Acronym"/>
    <w:lsdException w:uiPriority="99" w:name="HTML Address"/>
    <w:lsdException w:uiPriority="99" w:semiHidden="0" w:name="HTML Cite"/>
    <w:lsdException w:uiPriority="99" w:semiHidden="0" w:name="HTML Code"/>
    <w:lsdException w:uiPriority="99"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8"/>
    <w:qFormat/>
    <w:locked/>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footer"/>
    <w:basedOn w:val="1"/>
    <w:link w:val="21"/>
    <w:semiHidden/>
    <w:qFormat/>
    <w:uiPriority w:val="99"/>
    <w:pPr>
      <w:tabs>
        <w:tab w:val="center" w:pos="4153"/>
        <w:tab w:val="right" w:pos="8306"/>
      </w:tabs>
      <w:snapToGrid w:val="0"/>
      <w:jc w:val="left"/>
    </w:pPr>
    <w:rPr>
      <w:sz w:val="18"/>
      <w:szCs w:val="18"/>
    </w:rPr>
  </w:style>
  <w:style w:type="paragraph" w:styleId="4">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6">
    <w:name w:val="Normal (Web)"/>
    <w:basedOn w:val="1"/>
    <w:unhideWhenUsed/>
    <w:uiPriority w:val="99"/>
    <w:pPr>
      <w:jc w:val="left"/>
    </w:pPr>
    <w:rPr>
      <w:kern w:val="0"/>
      <w:sz w:val="24"/>
    </w:rPr>
  </w:style>
  <w:style w:type="character" w:styleId="9">
    <w:name w:val="Strong"/>
    <w:qFormat/>
    <w:locked/>
    <w:uiPriority w:val="0"/>
    <w:rPr>
      <w:b/>
    </w:rPr>
  </w:style>
  <w:style w:type="character" w:styleId="10">
    <w:name w:val="FollowedHyperlink"/>
    <w:unhideWhenUsed/>
    <w:uiPriority w:val="99"/>
    <w:rPr>
      <w:color w:val="666666"/>
      <w:u w:val="none"/>
    </w:rPr>
  </w:style>
  <w:style w:type="character" w:styleId="11">
    <w:name w:val="Emphasis"/>
    <w:qFormat/>
    <w:locked/>
    <w:uiPriority w:val="99"/>
    <w:rPr>
      <w:rFonts w:cs="Times New Roman"/>
      <w:i/>
      <w:iCs/>
    </w:rPr>
  </w:style>
  <w:style w:type="character" w:styleId="12">
    <w:name w:val="HTML Definition"/>
    <w:basedOn w:val="8"/>
    <w:unhideWhenUsed/>
    <w:uiPriority w:val="99"/>
  </w:style>
  <w:style w:type="character" w:styleId="13">
    <w:name w:val="HTML Acronym"/>
    <w:unhideWhenUsed/>
    <w:uiPriority w:val="99"/>
  </w:style>
  <w:style w:type="character" w:styleId="14">
    <w:name w:val="HTML Variable"/>
    <w:basedOn w:val="8"/>
    <w:unhideWhenUsed/>
    <w:uiPriority w:val="99"/>
  </w:style>
  <w:style w:type="character" w:styleId="15">
    <w:name w:val="Hyperlink"/>
    <w:uiPriority w:val="99"/>
    <w:rPr>
      <w:rFonts w:cs="Times New Roman"/>
      <w:color w:val="0000FF"/>
      <w:u w:val="single"/>
    </w:rPr>
  </w:style>
  <w:style w:type="character" w:styleId="16">
    <w:name w:val="HTML Code"/>
    <w:unhideWhenUsed/>
    <w:uiPriority w:val="99"/>
    <w:rPr>
      <w:rFonts w:ascii="Courier New" w:hAnsi="Courier New"/>
      <w:sz w:val="20"/>
    </w:rPr>
  </w:style>
  <w:style w:type="character" w:styleId="17">
    <w:name w:val="HTML Cite"/>
    <w:unhideWhenUsed/>
    <w:uiPriority w:val="99"/>
    <w:rPr>
      <w:color w:val="008000"/>
    </w:rPr>
  </w:style>
  <w:style w:type="character" w:customStyle="1" w:styleId="18">
    <w:name w:val="标题 3 Char"/>
    <w:link w:val="2"/>
    <w:semiHidden/>
    <w:locked/>
    <w:uiPriority w:val="99"/>
    <w:rPr>
      <w:rFonts w:ascii="Times New Roman" w:hAnsi="Times New Roman" w:cs="Times New Roman"/>
      <w:b/>
      <w:bCs/>
      <w:sz w:val="32"/>
      <w:szCs w:val="32"/>
    </w:rPr>
  </w:style>
  <w:style w:type="paragraph" w:customStyle="1" w:styleId="19">
    <w:name w:val="Char"/>
    <w:basedOn w:val="1"/>
    <w:uiPriority w:val="99"/>
    <w:pPr>
      <w:widowControl/>
      <w:spacing w:after="160" w:line="240" w:lineRule="exact"/>
      <w:jc w:val="left"/>
    </w:pPr>
    <w:rPr>
      <w:rFonts w:ascii="Arial" w:hAnsi="Arial" w:cs="Verdana"/>
      <w:b/>
      <w:kern w:val="0"/>
      <w:sz w:val="24"/>
      <w:lang w:eastAsia="en-US"/>
    </w:rPr>
  </w:style>
  <w:style w:type="character" w:customStyle="1" w:styleId="20">
    <w:name w:val="页眉 Char"/>
    <w:link w:val="4"/>
    <w:semiHidden/>
    <w:qFormat/>
    <w:locked/>
    <w:uiPriority w:val="99"/>
    <w:rPr>
      <w:rFonts w:ascii="Times New Roman" w:hAnsi="Times New Roman" w:cs="Times New Roman"/>
      <w:kern w:val="2"/>
      <w:sz w:val="18"/>
      <w:szCs w:val="18"/>
    </w:rPr>
  </w:style>
  <w:style w:type="character" w:customStyle="1" w:styleId="21">
    <w:name w:val="页脚 Char"/>
    <w:link w:val="3"/>
    <w:semiHidden/>
    <w:qFormat/>
    <w:locked/>
    <w:uiPriority w:val="99"/>
    <w:rPr>
      <w:rFonts w:ascii="Times New Roman" w:hAnsi="Times New Roman" w:cs="Times New Roman"/>
      <w:kern w:val="2"/>
      <w:sz w:val="18"/>
      <w:szCs w:val="18"/>
    </w:rPr>
  </w:style>
  <w:style w:type="character" w:customStyle="1" w:styleId="22">
    <w:name w:val="HTML 预设格式 Char"/>
    <w:link w:val="5"/>
    <w:semiHidden/>
    <w:qFormat/>
    <w:locked/>
    <w:uiPriority w:val="99"/>
    <w:rPr>
      <w:rFonts w:ascii="Courier New" w:hAnsi="Courier New" w:cs="Courier New"/>
      <w:sz w:val="20"/>
      <w:szCs w:val="20"/>
    </w:rPr>
  </w:style>
  <w:style w:type="character" w:customStyle="1" w:styleId="23">
    <w:name w:val="apple-converted-space"/>
    <w:qFormat/>
    <w:uiPriority w:val="99"/>
    <w:rPr>
      <w:rFonts w:cs="Times New Roman"/>
    </w:rPr>
  </w:style>
  <w:style w:type="character" w:customStyle="1" w:styleId="24">
    <w:name w:val="high-light"/>
    <w:qFormat/>
    <w:uiPriority w:val="99"/>
    <w:rPr>
      <w:rFonts w:cs="Times New Roman"/>
    </w:rPr>
  </w:style>
  <w:style w:type="character" w:customStyle="1" w:styleId="25">
    <w:name w:val="high-light high-light-bg"/>
    <w:uiPriority w:val="99"/>
    <w:rPr>
      <w:rFonts w:cs="Times New Roman"/>
    </w:rPr>
  </w:style>
  <w:style w:type="paragraph" w:customStyle="1" w:styleId="26">
    <w:name w:val="tgt"/>
    <w:basedOn w:val="1"/>
    <w:uiPriority w:val="99"/>
    <w:pPr>
      <w:widowControl/>
      <w:spacing w:before="100" w:beforeAutospacing="1" w:after="100" w:afterAutospacing="1"/>
      <w:jc w:val="left"/>
    </w:pPr>
    <w:rPr>
      <w:rFonts w:ascii="宋体" w:hAnsi="宋体" w:cs="宋体"/>
      <w:kern w:val="0"/>
      <w:sz w:val="24"/>
    </w:rPr>
  </w:style>
  <w:style w:type="character" w:customStyle="1" w:styleId="27">
    <w:name w:val="data-lang6"/>
    <w:uiPriority w:val="0"/>
    <w:rPr>
      <w:color w:val="DDDDDD"/>
      <w:sz w:val="21"/>
      <w:szCs w:val="21"/>
      <w:bdr w:val="single" w:color="FFFFFF" w:sz="6" w:space="0"/>
    </w:rPr>
  </w:style>
  <w:style w:type="character" w:customStyle="1" w:styleId="28">
    <w:name w:val="focus"/>
    <w:basedOn w:val="8"/>
    <w:uiPriority w:val="0"/>
  </w:style>
  <w:style w:type="character" w:customStyle="1" w:styleId="29">
    <w:name w:val="high-light-bg5"/>
    <w:uiPriority w:val="0"/>
    <w:rPr>
      <w:shd w:val="clear" w:color="auto" w:fill="FFFF00"/>
    </w:rPr>
  </w:style>
  <w:style w:type="character" w:customStyle="1" w:styleId="30">
    <w:name w:val="op_dict3_lineone_result_tip"/>
    <w:uiPriority w:val="0"/>
    <w:rPr>
      <w:color w:val="999999"/>
    </w:rPr>
  </w:style>
  <w:style w:type="paragraph" w:customStyle="1" w:styleId="31">
    <w:name w:val="sample-target"/>
    <w:basedOn w:val="1"/>
    <w:uiPriority w:val="0"/>
    <w:pPr>
      <w:spacing w:line="330" w:lineRule="atLeast"/>
      <w:jc w:val="left"/>
    </w:pPr>
    <w:rPr>
      <w:rFonts w:hint="eastAsia" w:ascii="Arial" w:hAnsi="Arial"/>
      <w:color w:val="333333"/>
      <w:kern w:val="0"/>
      <w:szCs w:val="21"/>
    </w:rPr>
  </w:style>
  <w:style w:type="character" w:customStyle="1" w:styleId="32">
    <w:name w:val="high-light3"/>
    <w:uiPriority w:val="0"/>
    <w:rPr>
      <w:color w:val="FF7E00"/>
    </w:rPr>
  </w:style>
  <w:style w:type="character" w:customStyle="1" w:styleId="33">
    <w:name w:val="high-light-bg3"/>
    <w:uiPriority w:val="0"/>
    <w:rPr>
      <w:shd w:val="clear" w:color="auto" w:fill="FFFF00"/>
    </w:rPr>
  </w:style>
  <w:style w:type="character" w:customStyle="1" w:styleId="34">
    <w:name w:val="data-lang"/>
    <w:uiPriority w:val="0"/>
    <w:rPr>
      <w:color w:val="DDDDDD"/>
      <w:sz w:val="21"/>
      <w:szCs w:val="21"/>
      <w:bdr w:val="single" w:color="FFFFFF" w:sz="6" w:space="0"/>
    </w:rPr>
  </w:style>
  <w:style w:type="paragraph" w:styleId="35">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1667</Words>
  <Characters>9505</Characters>
  <Lines>79</Lines>
  <Paragraphs>22</Paragraphs>
  <TotalTime>1</TotalTime>
  <ScaleCrop>false</ScaleCrop>
  <LinksUpToDate>false</LinksUpToDate>
  <CharactersWithSpaces>11150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2020-01-08T09:42:00Z</dcterms:created>
  <dc:creator>Administrator</dc:creator>
  <cp:lastModifiedBy>Administrator</cp:lastModifiedBy>
  <dcterms:modified xsi:type="dcterms:W3CDTF">2020-01-15T06:13:53Z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